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1080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630"/>
        <w:gridCol w:w="3060"/>
        <w:gridCol w:w="1080"/>
        <w:gridCol w:w="1530"/>
      </w:tblGrid>
      <w:tr w:rsidR="001F0083" w:rsidRPr="00101976" w:rsidTr="007E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:rsidR="00E16CDD" w:rsidRPr="00E83DDC" w:rsidRDefault="0088321D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r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8CDF1" wp14:editId="5A617063">
                      <wp:simplePos x="0" y="0"/>
                      <wp:positionH relativeFrom="margin">
                        <wp:posOffset>-24765</wp:posOffset>
                      </wp:positionH>
                      <wp:positionV relativeFrom="margin">
                        <wp:posOffset>31115</wp:posOffset>
                      </wp:positionV>
                      <wp:extent cx="1200150" cy="4095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321D" w:rsidRPr="0088321D" w:rsidRDefault="00601ADD" w:rsidP="0088321D">
                                  <w:pPr>
                                    <w:jc w:val="center"/>
                                    <w:rPr>
                                      <w:rFonts w:asciiTheme="majorHAnsi" w:eastAsia="Gulim" w:hAnsiTheme="majorHAnsi"/>
                                      <w:i/>
                                      <w:sz w:val="22"/>
                                    </w:rPr>
                                  </w:pPr>
                                  <w:r w:rsidRPr="0088321D">
                                    <w:rPr>
                                      <w:rFonts w:asciiTheme="majorHAnsi" w:eastAsia="Gulim" w:hAnsiTheme="majorHAnsi"/>
                                      <w:i/>
                                      <w:sz w:val="22"/>
                                    </w:rPr>
                                    <w:t>Case Closure/</w:t>
                                  </w:r>
                                </w:p>
                                <w:p w:rsidR="005243D9" w:rsidRPr="0088321D" w:rsidRDefault="00601ADD" w:rsidP="0088321D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24"/>
                                      <w:szCs w:val="22"/>
                                    </w:rPr>
                                  </w:pPr>
                                  <w:r w:rsidRPr="0088321D">
                                    <w:rPr>
                                      <w:rFonts w:asciiTheme="majorHAnsi" w:eastAsia="Gulim" w:hAnsiTheme="majorHAnsi"/>
                                      <w:i/>
                                      <w:sz w:val="22"/>
                                    </w:rPr>
                                    <w:t>Transfer</w:t>
                                  </w:r>
                                  <w:r w:rsidR="000E38AE" w:rsidRPr="0088321D">
                                    <w:rPr>
                                      <w:rFonts w:asciiTheme="majorHAnsi" w:eastAsia="Gulim" w:hAnsiTheme="majorHAnsi"/>
                                      <w:i/>
                                      <w:sz w:val="22"/>
                                    </w:rPr>
                                    <w:t xml:space="preserve"> (Out)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95pt;margin-top:2.45pt;width:94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" fillcolor="#d8d8d8 [2732]" strokeweight=".5pt">
                      <v:textbox>
                        <w:txbxContent>
                          <w:p w:rsidR="0088321D" w:rsidRPr="0088321D" w:rsidRDefault="00601ADD" w:rsidP="0088321D">
                            <w:pPr>
                              <w:jc w:val="center"/>
                              <w:rPr>
                                <w:rFonts w:asciiTheme="majorHAnsi" w:eastAsia="Gulim" w:hAnsiTheme="majorHAnsi"/>
                                <w:i/>
                                <w:sz w:val="22"/>
                              </w:rPr>
                            </w:pPr>
                            <w:r w:rsidRPr="0088321D">
                              <w:rPr>
                                <w:rFonts w:asciiTheme="majorHAnsi" w:eastAsia="Gulim" w:hAnsiTheme="majorHAnsi"/>
                                <w:i/>
                                <w:sz w:val="22"/>
                              </w:rPr>
                              <w:t>Case Closure/</w:t>
                            </w:r>
                          </w:p>
                          <w:p w:rsidR="005243D9" w:rsidRPr="0088321D" w:rsidRDefault="00601ADD" w:rsidP="0088321D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24"/>
                                <w:szCs w:val="22"/>
                              </w:rPr>
                            </w:pPr>
                            <w:r w:rsidRPr="0088321D">
                              <w:rPr>
                                <w:rFonts w:asciiTheme="majorHAnsi" w:eastAsia="Gulim" w:hAnsiTheme="majorHAnsi"/>
                                <w:i/>
                                <w:sz w:val="22"/>
                              </w:rPr>
                              <w:t>Transfer</w:t>
                            </w:r>
                            <w:r w:rsidR="000E38AE" w:rsidRPr="0088321D">
                              <w:rPr>
                                <w:rFonts w:asciiTheme="majorHAnsi" w:eastAsia="Gulim" w:hAnsiTheme="majorHAnsi"/>
                                <w:i/>
                                <w:sz w:val="22"/>
                              </w:rPr>
                              <w:t xml:space="preserve"> (Out)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E4751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F13A0" wp14:editId="21A0A4A3">
                      <wp:simplePos x="0" y="0"/>
                      <wp:positionH relativeFrom="column">
                        <wp:posOffset>5904865</wp:posOffset>
                      </wp:positionH>
                      <wp:positionV relativeFrom="paragraph">
                        <wp:posOffset>72390</wp:posOffset>
                      </wp:positionV>
                      <wp:extent cx="790575" cy="923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601ADD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64.95pt;margin-top:5.7pt;width:62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" fillcolor="white [3201]" strokeweight=".5pt">
                      <v:textbox>
                        <w:txbxContent>
                          <w:p w:rsidR="005243D9" w:rsidRPr="005243D9" w:rsidRDefault="00601ADD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0E38AE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 xml:space="preserve">  </w:t>
            </w:r>
            <w:r w:rsidR="0045023F"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7E475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30" w:type="dxa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5"/>
          </w:tcPr>
          <w:p w:rsidR="00E83DDC" w:rsidRPr="00421AAB" w:rsidRDefault="006C3347" w:rsidP="00421AAB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aps w:val="0"/>
              </w:rPr>
            </w:pPr>
            <w:r w:rsidRPr="00421AAB">
              <w:rPr>
                <w:rFonts w:ascii="Arial" w:hAnsi="Arial" w:cs="Arial"/>
                <w:caps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BA54FB" wp14:editId="175B1327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6596D6A0" id="_x0000_s1028" type="#_x0000_t202" style="position:absolute;left:0;text-align:left;margin-left:613.3pt;margin-top:-1.5pt;width:59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421AAB">
              <w:rPr>
                <w:rFonts w:ascii="Arial" w:hAnsi="Arial" w:cs="Arial"/>
                <w:b/>
                <w:caps w:val="0"/>
              </w:rPr>
              <w:t>Specific and clear legal t</w:t>
            </w:r>
            <w:r w:rsidR="00FA136B" w:rsidRPr="00421AAB">
              <w:rPr>
                <w:rFonts w:ascii="Arial" w:hAnsi="Arial" w:cs="Arial"/>
                <w:b/>
                <w:caps w:val="0"/>
              </w:rPr>
              <w:t>ra</w:t>
            </w:r>
            <w:r w:rsidR="00421AAB">
              <w:rPr>
                <w:rFonts w:ascii="Arial" w:hAnsi="Arial" w:cs="Arial"/>
                <w:b/>
                <w:caps w:val="0"/>
              </w:rPr>
              <w:t>nsfer procedures promote sound and transparent case p</w:t>
            </w:r>
            <w:r w:rsidR="00FA136B" w:rsidRPr="00421AAB">
              <w:rPr>
                <w:rFonts w:ascii="Arial" w:hAnsi="Arial" w:cs="Arial"/>
                <w:b/>
                <w:caps w:val="0"/>
              </w:rPr>
              <w:t xml:space="preserve">rocessing </w:t>
            </w:r>
            <w:r w:rsidR="00421AAB">
              <w:rPr>
                <w:rFonts w:ascii="Arial" w:hAnsi="Arial" w:cs="Arial"/>
                <w:b/>
                <w:caps w:val="0"/>
              </w:rPr>
              <w:t xml:space="preserve">between dockets and from </w:t>
            </w:r>
            <w:r w:rsidR="00FA136B" w:rsidRPr="00421AAB">
              <w:rPr>
                <w:rFonts w:ascii="Arial" w:hAnsi="Arial" w:cs="Arial"/>
                <w:b/>
                <w:caps w:val="0"/>
              </w:rPr>
              <w:t>Court to Court.</w:t>
            </w:r>
          </w:p>
        </w:tc>
      </w:tr>
      <w:tr w:rsidR="00C26F46" w:rsidRPr="00101976" w:rsidTr="007E4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gridSpan w:val="3"/>
            <w:vAlign w:val="center"/>
          </w:tcPr>
          <w:p w:rsidR="00C26F46" w:rsidRDefault="000B6D49" w:rsidP="00812E6C">
            <w:pPr>
              <w:spacing w:after="60"/>
              <w:jc w:val="center"/>
              <w:rPr>
                <w:noProof/>
                <w:sz w:val="18"/>
              </w:rPr>
            </w:pPr>
            <w:r>
              <w:rPr>
                <w:color w:val="003366"/>
                <w:sz w:val="18"/>
              </w:rPr>
              <w:t xml:space="preserve">Path </w:t>
            </w:r>
            <w:r w:rsidR="00812E6C">
              <w:rPr>
                <w:color w:val="003366"/>
                <w:sz w:val="18"/>
              </w:rPr>
              <w:t>–</w:t>
            </w:r>
            <w:r>
              <w:rPr>
                <w:color w:val="003366"/>
                <w:sz w:val="18"/>
              </w:rPr>
              <w:t xml:space="preserve"> Process</w:t>
            </w:r>
            <w:r w:rsidR="00812E6C">
              <w:rPr>
                <w:color w:val="003366"/>
                <w:sz w:val="1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  <w:gridSpan w:val="3"/>
            <w:vAlign w:val="center"/>
          </w:tcPr>
          <w:p w:rsidR="00C26F46" w:rsidRDefault="00C26F46" w:rsidP="00812E6C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color w:val="003366"/>
                <w:sz w:val="18"/>
              </w:rPr>
              <w:t>Protocol</w:t>
            </w:r>
            <w:r w:rsidR="000B6D49">
              <w:rPr>
                <w:color w:val="003366"/>
                <w:sz w:val="18"/>
              </w:rPr>
              <w:t xml:space="preserve"> – Procedure</w:t>
            </w:r>
          </w:p>
        </w:tc>
      </w:tr>
      <w:tr w:rsidR="00A01A19" w:rsidRPr="00101976" w:rsidTr="007E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gridSpan w:val="3"/>
          </w:tcPr>
          <w:p w:rsidR="00A01A19" w:rsidRPr="001B4BFF" w:rsidRDefault="00B41A61" w:rsidP="00300240">
            <w:pPr>
              <w:spacing w:after="60"/>
              <w:rPr>
                <w:sz w:val="18"/>
              </w:rPr>
            </w:pPr>
            <w:r>
              <w:rPr>
                <w:noProof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4.65pt;margin-top:0;width:259.25pt;height:175.35pt;z-index:251663360;mso-position-horizontal-relative:text;mso-position-vertical-relative:text">
                  <v:imagedata r:id="rId10" o:title=""/>
                  <w10:wrap type="topAndBottom"/>
                </v:shape>
                <o:OLEObject Type="Embed" ProgID="ProCHARTS.Document" ShapeID="_x0000_s1027" DrawAspect="Content" ObjectID="_1522763421" r:id="rId11"/>
              </w:pi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  <w:gridSpan w:val="3"/>
          </w:tcPr>
          <w:p w:rsidR="0022686E" w:rsidRDefault="0022686E" w:rsidP="00B55962">
            <w:pPr>
              <w:rPr>
                <w:color w:val="6E2C11" w:themeColor="accent5" w:themeShade="80"/>
                <w:sz w:val="18"/>
                <w:szCs w:val="18"/>
              </w:rPr>
            </w:pPr>
          </w:p>
          <w:p w:rsidR="00421AAB" w:rsidRPr="000B6D49" w:rsidRDefault="00B55962" w:rsidP="009039C0">
            <w:pPr>
              <w:rPr>
                <w:b w:val="0"/>
                <w:bCs w:val="0"/>
                <w:color w:val="6E2C11" w:themeColor="accent5" w:themeShade="80"/>
                <w:sz w:val="18"/>
                <w:szCs w:val="18"/>
              </w:rPr>
            </w:pPr>
            <w:r w:rsidRPr="001B4BFF">
              <w:rPr>
                <w:sz w:val="18"/>
              </w:rPr>
              <w:t xml:space="preserve"> </w:t>
            </w:r>
          </w:p>
          <w:tbl>
            <w:tblPr>
              <w:tblStyle w:val="TableGrid"/>
              <w:tblW w:w="54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60"/>
            </w:tblGrid>
            <w:tr w:rsidR="00421AAB" w:rsidTr="007E4751">
              <w:tc>
                <w:tcPr>
                  <w:tcW w:w="5112" w:type="dxa"/>
                  <w:vAlign w:val="center"/>
                </w:tcPr>
                <w:p w:rsidR="00421AAB" w:rsidRPr="00421AAB" w:rsidRDefault="00421AAB" w:rsidP="00421AAB">
                  <w:pPr>
                    <w:rPr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421AAB">
                    <w:rPr>
                      <w:b/>
                      <w:color w:val="6E2C11" w:themeColor="accent5" w:themeShade="80"/>
                      <w:sz w:val="18"/>
                      <w:szCs w:val="18"/>
                    </w:rPr>
                    <w:t>Court terminates Transfer participant from Wellness Court</w:t>
                  </w:r>
                </w:p>
              </w:tc>
              <w:tc>
                <w:tcPr>
                  <w:tcW w:w="360" w:type="dxa"/>
                  <w:vAlign w:val="center"/>
                </w:tcPr>
                <w:p w:rsidR="00421AAB" w:rsidRDefault="00421AAB" w:rsidP="00421AAB">
                  <w:pPr>
                    <w:jc w:val="center"/>
                    <w:rPr>
                      <w:color w:val="6E2C11" w:themeColor="accent5" w:themeShade="80"/>
                      <w:sz w:val="18"/>
                      <w:szCs w:val="18"/>
                    </w:rPr>
                  </w:pPr>
                  <w:r w:rsidRPr="00A25726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421AAB" w:rsidTr="007E4751">
              <w:tc>
                <w:tcPr>
                  <w:tcW w:w="5112" w:type="dxa"/>
                  <w:vAlign w:val="center"/>
                </w:tcPr>
                <w:p w:rsidR="00421AAB" w:rsidRPr="00421AAB" w:rsidRDefault="00421AAB" w:rsidP="00421AAB">
                  <w:pPr>
                    <w:rPr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421AAB">
                    <w:rPr>
                      <w:b/>
                      <w:color w:val="6E2C11" w:themeColor="accent5" w:themeShade="80"/>
                      <w:sz w:val="18"/>
                      <w:szCs w:val="18"/>
                    </w:rPr>
                    <w:t>Court produces Order stating the bases of closure and transfer</w:t>
                  </w:r>
                </w:p>
              </w:tc>
              <w:tc>
                <w:tcPr>
                  <w:tcW w:w="360" w:type="dxa"/>
                  <w:vAlign w:val="center"/>
                </w:tcPr>
                <w:p w:rsidR="00421AAB" w:rsidRDefault="00421AAB" w:rsidP="00421AAB">
                  <w:pPr>
                    <w:jc w:val="center"/>
                    <w:rPr>
                      <w:color w:val="6E2C11" w:themeColor="accent5" w:themeShade="80"/>
                      <w:sz w:val="18"/>
                      <w:szCs w:val="18"/>
                    </w:rPr>
                  </w:pPr>
                  <w:r w:rsidRPr="00A25726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421AAB" w:rsidTr="007E4751">
              <w:tc>
                <w:tcPr>
                  <w:tcW w:w="5112" w:type="dxa"/>
                  <w:vAlign w:val="center"/>
                </w:tcPr>
                <w:p w:rsidR="00421AAB" w:rsidRPr="00421AAB" w:rsidRDefault="00421AAB" w:rsidP="00421AAB">
                  <w:pPr>
                    <w:rPr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421AAB">
                    <w:rPr>
                      <w:b/>
                      <w:color w:val="6E2C11" w:themeColor="accent5" w:themeShade="80"/>
                      <w:sz w:val="18"/>
                      <w:szCs w:val="18"/>
                    </w:rPr>
                    <w:t>Court enters Order (signed/file stamped)</w:t>
                  </w:r>
                </w:p>
              </w:tc>
              <w:tc>
                <w:tcPr>
                  <w:tcW w:w="360" w:type="dxa"/>
                  <w:vAlign w:val="center"/>
                </w:tcPr>
                <w:p w:rsidR="00421AAB" w:rsidRDefault="00421AAB" w:rsidP="00421AAB">
                  <w:pPr>
                    <w:jc w:val="center"/>
                    <w:rPr>
                      <w:color w:val="6E2C11" w:themeColor="accent5" w:themeShade="80"/>
                      <w:sz w:val="18"/>
                      <w:szCs w:val="18"/>
                    </w:rPr>
                  </w:pPr>
                  <w:r w:rsidRPr="00A25726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421AAB" w:rsidTr="007E4751">
              <w:tc>
                <w:tcPr>
                  <w:tcW w:w="5112" w:type="dxa"/>
                  <w:vAlign w:val="center"/>
                </w:tcPr>
                <w:p w:rsidR="00421AAB" w:rsidRDefault="00421AAB" w:rsidP="00421AAB">
                  <w:pPr>
                    <w:rPr>
                      <w:color w:val="6E2C11" w:themeColor="accent5" w:themeShade="80"/>
                      <w:sz w:val="18"/>
                      <w:szCs w:val="18"/>
                    </w:rPr>
                  </w:pPr>
                  <w:r w:rsidRPr="00421AAB">
                    <w:rPr>
                      <w:b/>
                      <w:color w:val="6E2C11" w:themeColor="accent5" w:themeShade="80"/>
                      <w:sz w:val="18"/>
                      <w:szCs w:val="18"/>
                    </w:rPr>
                    <w:t>Court delivers to</w:t>
                  </w:r>
                  <w:r>
                    <w:rPr>
                      <w:color w:val="6E2C11" w:themeColor="accent5" w:themeShade="80"/>
                      <w:sz w:val="18"/>
                      <w:szCs w:val="18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0"/>
                    <w:gridCol w:w="2129"/>
                    <w:gridCol w:w="391"/>
                    <w:gridCol w:w="2139"/>
                  </w:tblGrid>
                  <w:tr w:rsidR="00421AAB" w:rsidTr="00421AAB">
                    <w:tc>
                      <w:tcPr>
                        <w:tcW w:w="400" w:type="dxa"/>
                      </w:tcPr>
                      <w:p w:rsidR="00421AAB" w:rsidRDefault="00421AAB" w:rsidP="00421AAB">
                        <w:pPr>
                          <w:rPr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  <w:r w:rsidRPr="00A25726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  <w:r w:rsidRPr="00421AAB">
                          <w:rPr>
                            <w:sz w:val="18"/>
                            <w:szCs w:val="18"/>
                          </w:rPr>
                          <w:t>Wellness Court case file</w:t>
                        </w:r>
                      </w:p>
                    </w:tc>
                    <w:tc>
                      <w:tcPr>
                        <w:tcW w:w="391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  <w:r w:rsidRPr="00421AAB">
                          <w:rPr>
                            <w:rFonts w:cs="Arial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  <w:r w:rsidRPr="00421AAB">
                          <w:rPr>
                            <w:sz w:val="18"/>
                            <w:szCs w:val="18"/>
                          </w:rPr>
                          <w:t>Client</w:t>
                        </w:r>
                      </w:p>
                    </w:tc>
                  </w:tr>
                  <w:tr w:rsidR="00421AAB" w:rsidTr="00421AAB">
                    <w:tc>
                      <w:tcPr>
                        <w:tcW w:w="400" w:type="dxa"/>
                      </w:tcPr>
                      <w:p w:rsidR="00421AAB" w:rsidRDefault="00421AAB" w:rsidP="00421AAB">
                        <w:pPr>
                          <w:rPr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  <w:r w:rsidRPr="00A25726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  <w:r w:rsidRPr="00421AAB">
                          <w:rPr>
                            <w:sz w:val="18"/>
                            <w:szCs w:val="18"/>
                          </w:rPr>
                          <w:t>Prosecutor</w:t>
                        </w:r>
                      </w:p>
                    </w:tc>
                    <w:tc>
                      <w:tcPr>
                        <w:tcW w:w="391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  <w:r w:rsidRPr="00421AAB">
                          <w:rPr>
                            <w:rFonts w:cs="Arial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  <w:r w:rsidRPr="00421AAB">
                          <w:rPr>
                            <w:sz w:val="18"/>
                            <w:szCs w:val="18"/>
                          </w:rPr>
                          <w:t>Defense Counsel</w:t>
                        </w:r>
                      </w:p>
                    </w:tc>
                  </w:tr>
                  <w:tr w:rsidR="00421AAB" w:rsidTr="00421AAB">
                    <w:tc>
                      <w:tcPr>
                        <w:tcW w:w="400" w:type="dxa"/>
                      </w:tcPr>
                      <w:p w:rsidR="00421AAB" w:rsidRDefault="00421AAB" w:rsidP="00421AAB">
                        <w:pPr>
                          <w:rPr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  <w:r w:rsidRPr="00A25726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421AAB">
                          <w:rPr>
                            <w:sz w:val="18"/>
                            <w:szCs w:val="18"/>
                          </w:rPr>
                          <w:t>Tx</w:t>
                        </w:r>
                        <w:proofErr w:type="spellEnd"/>
                        <w:r w:rsidRPr="00421AAB">
                          <w:rPr>
                            <w:sz w:val="18"/>
                            <w:szCs w:val="18"/>
                          </w:rPr>
                          <w:t>/Healing Resource/Counselor</w:t>
                        </w:r>
                      </w:p>
                    </w:tc>
                    <w:tc>
                      <w:tcPr>
                        <w:tcW w:w="391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  <w:r w:rsidRPr="00421AAB">
                          <w:rPr>
                            <w:rFonts w:cs="Arial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  <w:r w:rsidRPr="00421AAB">
                          <w:rPr>
                            <w:sz w:val="18"/>
                            <w:szCs w:val="18"/>
                          </w:rPr>
                          <w:t>Police</w:t>
                        </w:r>
                      </w:p>
                    </w:tc>
                  </w:tr>
                  <w:tr w:rsidR="00421AAB" w:rsidTr="00421AAB">
                    <w:tc>
                      <w:tcPr>
                        <w:tcW w:w="400" w:type="dxa"/>
                      </w:tcPr>
                      <w:p w:rsidR="00421AAB" w:rsidRDefault="00421AAB" w:rsidP="00421AAB">
                        <w:pPr>
                          <w:rPr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  <w:r w:rsidRPr="00A25726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  <w:r w:rsidRPr="00421AAB">
                          <w:rPr>
                            <w:sz w:val="18"/>
                            <w:szCs w:val="18"/>
                          </w:rPr>
                          <w:t>__________________</w:t>
                        </w:r>
                      </w:p>
                    </w:tc>
                    <w:tc>
                      <w:tcPr>
                        <w:tcW w:w="391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39" w:type="dxa"/>
                      </w:tcPr>
                      <w:p w:rsidR="00421AAB" w:rsidRPr="00421AAB" w:rsidRDefault="00421AAB" w:rsidP="00421AA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21AAB" w:rsidRDefault="00421AAB" w:rsidP="00421AAB">
                  <w:pPr>
                    <w:rPr>
                      <w:color w:val="6E2C11" w:themeColor="accent5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421AAB" w:rsidRDefault="00421AAB" w:rsidP="000D08D5">
                  <w:pPr>
                    <w:jc w:val="center"/>
                    <w:rPr>
                      <w:color w:val="6E2C11" w:themeColor="accent5" w:themeShade="80"/>
                      <w:sz w:val="18"/>
                      <w:szCs w:val="18"/>
                    </w:rPr>
                  </w:pPr>
                  <w:r w:rsidRPr="00A25726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421AAB" w:rsidTr="007E4751">
              <w:tc>
                <w:tcPr>
                  <w:tcW w:w="5112" w:type="dxa"/>
                  <w:vAlign w:val="center"/>
                </w:tcPr>
                <w:p w:rsidR="00421AAB" w:rsidRPr="00421AAB" w:rsidRDefault="00421AAB" w:rsidP="00421AAB">
                  <w:pPr>
                    <w:rPr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421AAB">
                    <w:rPr>
                      <w:b/>
                      <w:color w:val="6E2C11" w:themeColor="accent5" w:themeShade="80"/>
                      <w:sz w:val="18"/>
                      <w:szCs w:val="18"/>
                    </w:rPr>
                    <w:t>Court delivers Order to referral jurisdiction</w:t>
                  </w:r>
                </w:p>
              </w:tc>
              <w:tc>
                <w:tcPr>
                  <w:tcW w:w="360" w:type="dxa"/>
                  <w:vAlign w:val="center"/>
                </w:tcPr>
                <w:p w:rsidR="00421AAB" w:rsidRDefault="00421AAB" w:rsidP="00421AAB">
                  <w:pPr>
                    <w:jc w:val="center"/>
                    <w:rPr>
                      <w:color w:val="6E2C11" w:themeColor="accent5" w:themeShade="80"/>
                      <w:sz w:val="18"/>
                      <w:szCs w:val="18"/>
                    </w:rPr>
                  </w:pPr>
                  <w:r w:rsidRPr="00A25726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421AAB" w:rsidTr="007E4751">
              <w:tc>
                <w:tcPr>
                  <w:tcW w:w="5112" w:type="dxa"/>
                  <w:vAlign w:val="center"/>
                </w:tcPr>
                <w:p w:rsidR="00421AAB" w:rsidRPr="00421AAB" w:rsidRDefault="00421AAB" w:rsidP="00421AAB">
                  <w:pPr>
                    <w:rPr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421AAB">
                    <w:rPr>
                      <w:b/>
                      <w:color w:val="6E2C11" w:themeColor="accent5" w:themeShade="80"/>
                      <w:sz w:val="18"/>
                      <w:szCs w:val="18"/>
                    </w:rPr>
                    <w:t>Court delivers Order to participant’s After Care provider file</w:t>
                  </w:r>
                </w:p>
              </w:tc>
              <w:tc>
                <w:tcPr>
                  <w:tcW w:w="360" w:type="dxa"/>
                  <w:vAlign w:val="center"/>
                </w:tcPr>
                <w:p w:rsidR="00421AAB" w:rsidRDefault="00421AAB" w:rsidP="00421AAB">
                  <w:pPr>
                    <w:jc w:val="center"/>
                    <w:rPr>
                      <w:color w:val="6E2C11" w:themeColor="accent5" w:themeShade="80"/>
                      <w:sz w:val="18"/>
                      <w:szCs w:val="18"/>
                    </w:rPr>
                  </w:pPr>
                  <w:r w:rsidRPr="00A25726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A01A19" w:rsidRPr="000B6D49" w:rsidRDefault="00A01A19" w:rsidP="009039C0">
            <w:pPr>
              <w:rPr>
                <w:color w:val="6E2C11" w:themeColor="accent5" w:themeShade="80"/>
                <w:sz w:val="18"/>
                <w:szCs w:val="18"/>
              </w:rPr>
            </w:pPr>
          </w:p>
        </w:tc>
      </w:tr>
      <w:tr w:rsidR="00A01A19" w:rsidRPr="001B4BFF" w:rsidTr="007E4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:rsidR="00A01A19" w:rsidRPr="00812E6C" w:rsidRDefault="00C40480" w:rsidP="00C40480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i/>
              </w:rPr>
            </w:pPr>
            <w:r w:rsidRPr="00812E6C">
              <w:rPr>
                <w:b/>
                <w:i/>
                <w:color w:val="000000" w:themeColor="text1"/>
              </w:rPr>
              <w:t xml:space="preserve">           </w:t>
            </w:r>
            <w:r w:rsidR="00CB77C1" w:rsidRPr="00812E6C">
              <w:rPr>
                <w:b/>
                <w:i/>
                <w:color w:val="000000" w:themeColor="text1"/>
              </w:rPr>
              <w:t xml:space="preserve">Action                    </w:t>
            </w:r>
            <w:r w:rsidRPr="00812E6C">
              <w:rPr>
                <w:b/>
                <w:i/>
                <w:color w:val="000000" w:themeColor="text1"/>
              </w:rPr>
              <w:t xml:space="preserve">                              </w:t>
            </w:r>
            <w:r w:rsidR="000E38AE" w:rsidRPr="00812E6C">
              <w:rPr>
                <w:b/>
                <w:i/>
                <w:color w:val="000000" w:themeColor="text1"/>
              </w:rPr>
              <w:t xml:space="preserve">           </w:t>
            </w:r>
            <w:r w:rsidR="00CB77C1" w:rsidRPr="00812E6C">
              <w:rPr>
                <w:b/>
                <w:i/>
                <w:color w:val="000000" w:themeColor="text1"/>
              </w:rPr>
              <w:t>Judge’s response</w:t>
            </w:r>
            <w:r w:rsidR="00812E6C">
              <w:rPr>
                <w:b/>
                <w:i/>
                <w:color w:val="000000" w:themeColor="text1"/>
              </w:rPr>
              <w:t xml:space="preserve"> – </w:t>
            </w:r>
            <w:r w:rsidR="000E38AE" w:rsidRPr="00812E6C">
              <w:rPr>
                <w:b/>
                <w:i/>
                <w:color w:val="000000" w:themeColor="text1"/>
              </w:rPr>
              <w:t>responsibilities</w:t>
            </w:r>
            <w:r w:rsidR="00812E6C">
              <w:rPr>
                <w:b/>
                <w:i/>
                <w:color w:val="000000" w:themeColor="text1"/>
              </w:rPr>
              <w:t xml:space="preserve"> </w:t>
            </w:r>
          </w:p>
        </w:tc>
      </w:tr>
      <w:tr w:rsidR="00A25726" w:rsidRPr="00101976" w:rsidTr="007E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A25726" w:rsidRPr="002812C3" w:rsidRDefault="00A25726" w:rsidP="00421AAB">
            <w:pPr>
              <w:spacing w:before="60" w:after="60"/>
              <w:jc w:val="center"/>
              <w:rPr>
                <w:color w:val="003366"/>
                <w:sz w:val="18"/>
              </w:rPr>
            </w:pPr>
            <w:r>
              <w:rPr>
                <w:color w:val="002060"/>
                <w:sz w:val="18"/>
                <w:szCs w:val="18"/>
              </w:rPr>
              <w:t xml:space="preserve">Wellness Court Receives </w:t>
            </w:r>
            <w:r w:rsidRPr="009039C0">
              <w:rPr>
                <w:color w:val="002060"/>
                <w:sz w:val="18"/>
                <w:szCs w:val="18"/>
              </w:rPr>
              <w:t>Motion/</w:t>
            </w:r>
            <w:r>
              <w:rPr>
                <w:color w:val="002060"/>
                <w:sz w:val="18"/>
                <w:szCs w:val="18"/>
              </w:rPr>
              <w:t xml:space="preserve"> </w:t>
            </w:r>
            <w:r w:rsidRPr="009039C0">
              <w:rPr>
                <w:color w:val="002060"/>
                <w:sz w:val="18"/>
                <w:szCs w:val="18"/>
              </w:rPr>
              <w:t xml:space="preserve">Request to </w:t>
            </w:r>
            <w:r w:rsidR="00421AAB">
              <w:rPr>
                <w:color w:val="002060"/>
                <w:sz w:val="18"/>
                <w:szCs w:val="18"/>
              </w:rPr>
              <w:t xml:space="preserve">Close Case and </w:t>
            </w:r>
            <w:r>
              <w:rPr>
                <w:color w:val="002060"/>
                <w:sz w:val="18"/>
                <w:szCs w:val="18"/>
              </w:rPr>
              <w:t>Transfer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20" w:type="dxa"/>
            <w:gridSpan w:val="5"/>
          </w:tcPr>
          <w:p w:rsidR="00A25726" w:rsidRPr="00421AAB" w:rsidRDefault="00A25726" w:rsidP="00A25726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 xml:space="preserve">□ </w:t>
            </w:r>
            <w:r w:rsidR="00421AAB">
              <w:rPr>
                <w:rFonts w:cs="Arial"/>
                <w:b w:val="0"/>
                <w:color w:val="000000" w:themeColor="text1"/>
                <w:sz w:val="16"/>
                <w:szCs w:val="16"/>
              </w:rPr>
              <w:t>Review Motion and</w:t>
            </w:r>
            <w:r w:rsidRPr="00421AAB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any support documents </w:t>
            </w:r>
          </w:p>
          <w:p w:rsidR="00A25726" w:rsidRPr="00421AAB" w:rsidRDefault="00A25726" w:rsidP="00A25726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 xml:space="preserve">□ 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 xml:space="preserve">Review </w:t>
            </w:r>
            <w:r w:rsidR="00421AAB">
              <w:rPr>
                <w:b w:val="0"/>
                <w:color w:val="000000" w:themeColor="text1"/>
                <w:sz w:val="16"/>
                <w:szCs w:val="16"/>
              </w:rPr>
              <w:t>participant’s Wellness Court f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>ile for status (docs showing status, completion, withdrawal, termination, etc.)</w:t>
            </w:r>
          </w:p>
          <w:p w:rsidR="00A25726" w:rsidRPr="00421AAB" w:rsidRDefault="00A25726" w:rsidP="00A25726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 xml:space="preserve"> Review Order Accepting Transfer (w/original motion) to determine if any</w:t>
            </w:r>
            <w:r w:rsidR="00421AAB">
              <w:rPr>
                <w:b w:val="0"/>
                <w:color w:val="000000" w:themeColor="text1"/>
                <w:sz w:val="16"/>
                <w:szCs w:val="16"/>
              </w:rPr>
              <w:t xml:space="preserve"> conditions of transfer are met</w:t>
            </w:r>
          </w:p>
        </w:tc>
      </w:tr>
      <w:tr w:rsidR="00A25726" w:rsidRPr="00101976" w:rsidTr="007E4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A25726" w:rsidRPr="002812C3" w:rsidRDefault="00A25726" w:rsidP="00421AAB">
            <w:pPr>
              <w:spacing w:before="60" w:after="60"/>
              <w:jc w:val="center"/>
              <w:rPr>
                <w:color w:val="003366"/>
                <w:sz w:val="18"/>
                <w:u w:val="single"/>
              </w:rPr>
            </w:pPr>
            <w:r>
              <w:rPr>
                <w:color w:val="002060"/>
                <w:sz w:val="18"/>
              </w:rPr>
              <w:t>Wellness Court Receives</w:t>
            </w:r>
            <w:r w:rsidRPr="009039C0">
              <w:rPr>
                <w:color w:val="002060"/>
                <w:sz w:val="18"/>
              </w:rPr>
              <w:t xml:space="preserve"> </w:t>
            </w:r>
            <w:r>
              <w:rPr>
                <w:color w:val="002060"/>
                <w:sz w:val="18"/>
              </w:rPr>
              <w:t xml:space="preserve">Notice </w:t>
            </w:r>
            <w:r w:rsidRPr="009039C0">
              <w:rPr>
                <w:color w:val="002060"/>
                <w:sz w:val="18"/>
              </w:rPr>
              <w:t>of Graduation w/Motion to Close Case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20" w:type="dxa"/>
            <w:gridSpan w:val="5"/>
          </w:tcPr>
          <w:p w:rsidR="00A25726" w:rsidRPr="00421AAB" w:rsidRDefault="00A25726" w:rsidP="00A25726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rFonts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21AAB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Review Motion and </w:t>
            </w:r>
            <w:r w:rsidRPr="00421AAB">
              <w:rPr>
                <w:rFonts w:cs="Arial"/>
                <w:b w:val="0"/>
                <w:color w:val="000000" w:themeColor="text1"/>
                <w:sz w:val="16"/>
                <w:szCs w:val="16"/>
              </w:rPr>
              <w:t>support documents</w:t>
            </w:r>
          </w:p>
          <w:p w:rsidR="00A25726" w:rsidRPr="00421AAB" w:rsidRDefault="00A25726" w:rsidP="00A25726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rFonts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21AAB">
              <w:rPr>
                <w:b w:val="0"/>
                <w:color w:val="000000" w:themeColor="text1"/>
                <w:sz w:val="16"/>
                <w:szCs w:val="16"/>
              </w:rPr>
              <w:t>Review participant’s Wellness Court fi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 xml:space="preserve">le for pertinent documentation </w:t>
            </w:r>
          </w:p>
          <w:p w:rsidR="00A25726" w:rsidRPr="00421AAB" w:rsidRDefault="00A25726" w:rsidP="000D08D5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="00421AAB">
              <w:rPr>
                <w:b w:val="0"/>
                <w:color w:val="000000" w:themeColor="text1"/>
                <w:sz w:val="16"/>
                <w:szCs w:val="16"/>
              </w:rPr>
              <w:t xml:space="preserve">  Write final c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 xml:space="preserve">omment in </w:t>
            </w:r>
            <w:r w:rsidR="00421AAB">
              <w:rPr>
                <w:b w:val="0"/>
                <w:color w:val="000000" w:themeColor="text1"/>
                <w:sz w:val="16"/>
                <w:szCs w:val="16"/>
              </w:rPr>
              <w:t>file and/or to participant</w:t>
            </w:r>
          </w:p>
        </w:tc>
      </w:tr>
      <w:tr w:rsidR="00A25726" w:rsidRPr="00157BA2" w:rsidTr="007E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A25726" w:rsidRPr="00567658" w:rsidRDefault="00A25726" w:rsidP="00421AAB">
            <w:pPr>
              <w:spacing w:before="60" w:after="60"/>
              <w:jc w:val="center"/>
              <w:rPr>
                <w:b w:val="0"/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 xml:space="preserve">Wellness Court </w:t>
            </w:r>
            <w:r w:rsidRPr="00567658">
              <w:rPr>
                <w:color w:val="002060"/>
                <w:sz w:val="18"/>
              </w:rPr>
              <w:t xml:space="preserve">Terminates </w:t>
            </w:r>
            <w:r>
              <w:rPr>
                <w:color w:val="002060"/>
                <w:sz w:val="18"/>
              </w:rPr>
              <w:t>Transfer Client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20" w:type="dxa"/>
            <w:gridSpan w:val="5"/>
          </w:tcPr>
          <w:p w:rsidR="00A25726" w:rsidRPr="00421AAB" w:rsidRDefault="00A25726" w:rsidP="00A25726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rFonts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>Prepare</w:t>
            </w:r>
            <w:r w:rsidR="007E450E" w:rsidRPr="00421AAB">
              <w:rPr>
                <w:b w:val="0"/>
                <w:color w:val="000000" w:themeColor="text1"/>
                <w:sz w:val="16"/>
                <w:szCs w:val="16"/>
              </w:rPr>
              <w:t xml:space="preserve"> Order of Termination (which could include Order to Close Case and T</w:t>
            </w:r>
            <w:r w:rsidR="000D08D5">
              <w:rPr>
                <w:b w:val="0"/>
                <w:color w:val="000000" w:themeColor="text1"/>
                <w:sz w:val="16"/>
                <w:szCs w:val="16"/>
              </w:rPr>
              <w:t>ransfer if not done separately)</w:t>
            </w:r>
          </w:p>
          <w:p w:rsidR="007E450E" w:rsidRPr="00421AAB" w:rsidRDefault="007E450E" w:rsidP="00A25726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rFonts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>State in</w:t>
            </w:r>
            <w:r w:rsidR="000D08D5">
              <w:rPr>
                <w:b w:val="0"/>
                <w:color w:val="000000" w:themeColor="text1"/>
                <w:sz w:val="16"/>
                <w:szCs w:val="16"/>
              </w:rPr>
              <w:t xml:space="preserve"> Order 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>how termination was decided and how due process was afforded participant</w:t>
            </w:r>
          </w:p>
          <w:p w:rsidR="00A25726" w:rsidRPr="00421AAB" w:rsidRDefault="00A25726" w:rsidP="00A25726">
            <w:pPr>
              <w:rPr>
                <w:b w:val="0"/>
                <w:sz w:val="18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 xml:space="preserve"> Review</w:t>
            </w:r>
            <w:r w:rsidR="000D08D5">
              <w:rPr>
                <w:b w:val="0"/>
                <w:color w:val="000000" w:themeColor="text1"/>
                <w:sz w:val="16"/>
                <w:szCs w:val="16"/>
              </w:rPr>
              <w:t xml:space="preserve"> d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>efendant’s Original Order, if any, to assure Termination Order is delive</w:t>
            </w:r>
            <w:r w:rsidR="000D08D5">
              <w:rPr>
                <w:b w:val="0"/>
                <w:color w:val="000000" w:themeColor="text1"/>
                <w:sz w:val="16"/>
                <w:szCs w:val="16"/>
              </w:rPr>
              <w:t>red to appropriate jurisdiction</w:t>
            </w:r>
          </w:p>
        </w:tc>
      </w:tr>
      <w:tr w:rsidR="00A25726" w:rsidRPr="00157BA2" w:rsidTr="007E4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A25726" w:rsidRPr="007E450E" w:rsidRDefault="00A25726" w:rsidP="00421AAB">
            <w:pPr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 xml:space="preserve">Wellness </w:t>
            </w:r>
            <w:proofErr w:type="spellStart"/>
            <w:r w:rsidRPr="009039C0">
              <w:rPr>
                <w:color w:val="002060"/>
                <w:sz w:val="18"/>
              </w:rPr>
              <w:t>Cour</w:t>
            </w:r>
            <w:r w:rsidR="000D08D5">
              <w:rPr>
                <w:color w:val="002060"/>
                <w:sz w:val="18"/>
              </w:rPr>
              <w:t>i</w:t>
            </w:r>
            <w:r w:rsidRPr="009039C0">
              <w:rPr>
                <w:color w:val="002060"/>
                <w:sz w:val="18"/>
              </w:rPr>
              <w:t>t</w:t>
            </w:r>
            <w:proofErr w:type="spellEnd"/>
            <w:r w:rsidRPr="009039C0">
              <w:rPr>
                <w:color w:val="002060"/>
                <w:sz w:val="18"/>
              </w:rPr>
              <w:t xml:space="preserve"> </w:t>
            </w:r>
            <w:r>
              <w:rPr>
                <w:color w:val="002060"/>
                <w:sz w:val="18"/>
              </w:rPr>
              <w:t>Prepares Closure</w:t>
            </w:r>
            <w:r w:rsidR="00421AAB">
              <w:rPr>
                <w:color w:val="002060"/>
                <w:sz w:val="18"/>
              </w:rPr>
              <w:t xml:space="preserve"> and </w:t>
            </w:r>
            <w:r w:rsidR="007E450E">
              <w:rPr>
                <w:color w:val="002060"/>
                <w:sz w:val="18"/>
              </w:rPr>
              <w:t>Transfer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20" w:type="dxa"/>
            <w:gridSpan w:val="5"/>
          </w:tcPr>
          <w:p w:rsidR="0022686E" w:rsidRPr="00421AAB" w:rsidRDefault="0022686E" w:rsidP="0022686E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rFonts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421AAB">
              <w:rPr>
                <w:rFonts w:cs="Arial"/>
                <w:b w:val="0"/>
                <w:color w:val="000000" w:themeColor="text1"/>
                <w:sz w:val="16"/>
                <w:szCs w:val="16"/>
              </w:rPr>
              <w:t>State short procedural history leading to case closure, including if case was transferred from sister jurisdiction</w:t>
            </w:r>
          </w:p>
          <w:p w:rsidR="0022686E" w:rsidRPr="00421AAB" w:rsidRDefault="0022686E" w:rsidP="0022686E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rFonts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 xml:space="preserve">State the circumstances of closure, if </w:t>
            </w:r>
            <w:r w:rsidR="000D08D5">
              <w:rPr>
                <w:b w:val="0"/>
                <w:color w:val="000000" w:themeColor="text1"/>
                <w:sz w:val="16"/>
                <w:szCs w:val="16"/>
              </w:rPr>
              <w:t>participant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 xml:space="preserve"> completed proce</w:t>
            </w:r>
            <w:r w:rsidR="000D08D5">
              <w:rPr>
                <w:b w:val="0"/>
                <w:color w:val="000000" w:themeColor="text1"/>
                <w:sz w:val="16"/>
                <w:szCs w:val="16"/>
              </w:rPr>
              <w:t>ss, withdrew, or was terminated</w:t>
            </w:r>
          </w:p>
          <w:p w:rsidR="00A25726" w:rsidRPr="00421AAB" w:rsidRDefault="0022686E" w:rsidP="000D08D5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rFonts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421AAB">
              <w:rPr>
                <w:rFonts w:cs="Arial"/>
                <w:b w:val="0"/>
                <w:color w:val="000000" w:themeColor="text1"/>
                <w:sz w:val="16"/>
                <w:szCs w:val="16"/>
              </w:rPr>
              <w:t>State whether all conditions of transfer were complete</w:t>
            </w:r>
            <w:r w:rsidR="000D08D5">
              <w:rPr>
                <w:rFonts w:cs="Arial"/>
                <w:b w:val="0"/>
                <w:color w:val="000000" w:themeColor="text1"/>
                <w:sz w:val="16"/>
                <w:szCs w:val="16"/>
              </w:rPr>
              <w:t>d and that case is closed</w:t>
            </w:r>
          </w:p>
        </w:tc>
      </w:tr>
      <w:tr w:rsidR="00A25726" w:rsidRPr="00101976" w:rsidTr="007E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2686E" w:rsidRDefault="0022686E" w:rsidP="00421AAB">
            <w:pPr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Court Enters Order</w:t>
            </w:r>
          </w:p>
          <w:p w:rsidR="00A25726" w:rsidRPr="009039C0" w:rsidRDefault="00421AAB" w:rsidP="00421AAB">
            <w:pPr>
              <w:jc w:val="center"/>
              <w:rPr>
                <w:color w:val="6E2C11" w:themeColor="accent5" w:themeShade="80"/>
                <w:sz w:val="18"/>
                <w:szCs w:val="18"/>
                <w:u w:val="single"/>
              </w:rPr>
            </w:pPr>
            <w:r>
              <w:rPr>
                <w:color w:val="002060"/>
                <w:sz w:val="18"/>
              </w:rPr>
              <w:t xml:space="preserve">And </w:t>
            </w:r>
            <w:r w:rsidR="0022686E">
              <w:rPr>
                <w:color w:val="002060"/>
                <w:sz w:val="18"/>
              </w:rPr>
              <w:t>Delivers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20" w:type="dxa"/>
            <w:gridSpan w:val="5"/>
          </w:tcPr>
          <w:p w:rsidR="0022686E" w:rsidRPr="00421AAB" w:rsidRDefault="0022686E" w:rsidP="0022686E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rFonts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421AAB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Assure </w:t>
            </w:r>
            <w:r w:rsidR="007E450E" w:rsidRPr="00421AAB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the </w:t>
            </w:r>
            <w:r w:rsidRPr="00421AAB">
              <w:rPr>
                <w:rFonts w:cs="Arial"/>
                <w:b w:val="0"/>
                <w:color w:val="000000" w:themeColor="text1"/>
                <w:sz w:val="16"/>
                <w:szCs w:val="16"/>
              </w:rPr>
              <w:t>Order includes the name</w:t>
            </w:r>
            <w:r w:rsidR="000D08D5">
              <w:rPr>
                <w:rFonts w:cs="Arial"/>
                <w:b w:val="0"/>
                <w:color w:val="000000" w:themeColor="text1"/>
                <w:sz w:val="16"/>
                <w:szCs w:val="16"/>
              </w:rPr>
              <w:t>s of those it must be delivered</w:t>
            </w:r>
          </w:p>
          <w:p w:rsidR="0022686E" w:rsidRPr="00421AAB" w:rsidRDefault="0022686E" w:rsidP="0022686E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 xml:space="preserve">  </w:t>
            </w:r>
            <w:r w:rsidRPr="00421AAB">
              <w:rPr>
                <w:rFonts w:cs="Arial"/>
                <w:b w:val="0"/>
                <w:color w:val="000000" w:themeColor="text1"/>
                <w:sz w:val="16"/>
                <w:szCs w:val="16"/>
              </w:rPr>
              <w:t>Forward Final Order with your signature to Clerk/Coordinator for file stamp</w:t>
            </w:r>
          </w:p>
          <w:p w:rsidR="0022686E" w:rsidRPr="00421AAB" w:rsidRDefault="0022686E" w:rsidP="0022686E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rFonts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>Instruct court staff of any special and immediate deliveries</w:t>
            </w:r>
            <w:r w:rsidR="007E450E" w:rsidRPr="00421AAB">
              <w:rPr>
                <w:b w:val="0"/>
                <w:color w:val="000000" w:themeColor="text1"/>
                <w:sz w:val="16"/>
                <w:szCs w:val="16"/>
              </w:rPr>
              <w:t xml:space="preserve"> of the Order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A25726" w:rsidRPr="00421AAB" w:rsidRDefault="0022686E" w:rsidP="007E450E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421AAB">
              <w:rPr>
                <w:rFonts w:cs="Arial"/>
                <w:b w:val="0"/>
                <w:color w:val="000000" w:themeColor="text1"/>
                <w:sz w:val="24"/>
                <w:szCs w:val="24"/>
              </w:rPr>
              <w:t>□</w:t>
            </w:r>
            <w:r w:rsidRPr="00421AAB">
              <w:rPr>
                <w:b w:val="0"/>
                <w:color w:val="000000" w:themeColor="text1"/>
                <w:sz w:val="16"/>
                <w:szCs w:val="16"/>
              </w:rPr>
              <w:t xml:space="preserve">  Assure Order is delivered to After Care provider, if applicable</w:t>
            </w:r>
          </w:p>
        </w:tc>
      </w:tr>
      <w:tr w:rsidR="007E450E" w:rsidRPr="001B4BFF" w:rsidTr="007E4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:rsidR="007E450E" w:rsidRPr="00A90FF1" w:rsidRDefault="007E450E" w:rsidP="00A01A19">
            <w:pPr>
              <w:spacing w:before="60" w:after="60"/>
              <w:jc w:val="center"/>
              <w:rPr>
                <w:b w:val="0"/>
                <w:sz w:val="18"/>
                <w:u w:val="single"/>
              </w:rPr>
            </w:pPr>
            <w:r w:rsidRPr="00886FEE">
              <w:rPr>
                <w:color w:val="6E2C11" w:themeColor="accent5" w:themeShade="80"/>
              </w:rPr>
              <w:t>Record, Research &amp; Rule References</w:t>
            </w:r>
          </w:p>
        </w:tc>
      </w:tr>
      <w:tr w:rsidR="00A25726" w:rsidRPr="00101976" w:rsidTr="007E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gridSpan w:val="2"/>
            <w:vMerge w:val="restart"/>
          </w:tcPr>
          <w:p w:rsidR="00A25726" w:rsidRPr="00B47844" w:rsidRDefault="00A25726" w:rsidP="00A5625B">
            <w:pPr>
              <w:jc w:val="center"/>
              <w:rPr>
                <w:sz w:val="16"/>
                <w:szCs w:val="16"/>
                <w:u w:val="single"/>
              </w:rPr>
            </w:pPr>
            <w:r w:rsidRPr="00B47844">
              <w:rPr>
                <w:sz w:val="16"/>
                <w:szCs w:val="16"/>
                <w:u w:val="single"/>
              </w:rPr>
              <w:t>Data Points &amp; Performance Measures</w:t>
            </w:r>
          </w:p>
          <w:p w:rsidR="00A25726" w:rsidRDefault="00A25726" w:rsidP="0022686E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case closures by graduation per month</w:t>
            </w:r>
          </w:p>
          <w:p w:rsidR="00A25726" w:rsidRDefault="00A25726" w:rsidP="0022686E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case closures by termination per month</w:t>
            </w:r>
          </w:p>
          <w:p w:rsidR="00A25726" w:rsidRDefault="00A25726" w:rsidP="0022686E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case closures by client withdrawal per qtr.</w:t>
            </w:r>
          </w:p>
          <w:p w:rsidR="00A25726" w:rsidRDefault="00A25726" w:rsidP="0022686E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</w:t>
            </w:r>
            <w:proofErr w:type="gramStart"/>
            <w:r>
              <w:rPr>
                <w:color w:val="000000" w:themeColor="text1"/>
                <w:sz w:val="18"/>
              </w:rPr>
              <w:t>of</w:t>
            </w:r>
            <w:proofErr w:type="gramEnd"/>
            <w:r>
              <w:rPr>
                <w:color w:val="000000" w:themeColor="text1"/>
                <w:sz w:val="18"/>
              </w:rPr>
              <w:t xml:space="preserve"> open spots below program max. </w:t>
            </w:r>
            <w:proofErr w:type="gramStart"/>
            <w:r>
              <w:rPr>
                <w:color w:val="000000" w:themeColor="text1"/>
                <w:sz w:val="18"/>
              </w:rPr>
              <w:t>per</w:t>
            </w:r>
            <w:proofErr w:type="gramEnd"/>
            <w:r>
              <w:rPr>
                <w:color w:val="000000" w:themeColor="text1"/>
                <w:sz w:val="18"/>
              </w:rPr>
              <w:t xml:space="preserve"> qtr.</w:t>
            </w:r>
          </w:p>
          <w:p w:rsidR="00A25726" w:rsidRDefault="00A25726" w:rsidP="0022686E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</w:t>
            </w:r>
            <w:proofErr w:type="gramStart"/>
            <w:r>
              <w:rPr>
                <w:color w:val="000000" w:themeColor="text1"/>
                <w:sz w:val="18"/>
              </w:rPr>
              <w:t>of</w:t>
            </w:r>
            <w:proofErr w:type="gramEnd"/>
            <w:r>
              <w:rPr>
                <w:color w:val="000000" w:themeColor="text1"/>
                <w:sz w:val="18"/>
              </w:rPr>
              <w:t xml:space="preserve"> eligible </w:t>
            </w:r>
            <w:r w:rsidR="000D08D5">
              <w:rPr>
                <w:color w:val="000000" w:themeColor="text1"/>
                <w:sz w:val="18"/>
              </w:rPr>
              <w:t>participants</w:t>
            </w:r>
            <w:r>
              <w:rPr>
                <w:color w:val="000000" w:themeColor="text1"/>
                <w:sz w:val="18"/>
              </w:rPr>
              <w:t xml:space="preserve"> on a waiting list per qtr.</w:t>
            </w:r>
          </w:p>
          <w:p w:rsidR="00A25726" w:rsidRDefault="00A25726" w:rsidP="0022686E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cases transferred (intra-tribal court) per qtr.</w:t>
            </w:r>
          </w:p>
          <w:p w:rsidR="00A25726" w:rsidRPr="001B4BFF" w:rsidRDefault="00A25726" w:rsidP="0022686E">
            <w:pPr>
              <w:spacing w:line="360" w:lineRule="auto"/>
              <w:rPr>
                <w:b w:val="0"/>
                <w:color w:val="003366"/>
                <w:sz w:val="18"/>
              </w:rPr>
            </w:pPr>
            <w:r>
              <w:rPr>
                <w:color w:val="000000" w:themeColor="text1"/>
                <w:sz w:val="18"/>
              </w:rPr>
              <w:t># of cases transferred (sister jurisdiction) per qtr.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gridSpan w:val="2"/>
            <w:vMerge w:val="restart"/>
          </w:tcPr>
          <w:p w:rsidR="00A25726" w:rsidRPr="009A532D" w:rsidRDefault="00A25726" w:rsidP="000120F6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9A532D">
              <w:rPr>
                <w:b/>
                <w:color w:val="000000" w:themeColor="text1"/>
                <w:sz w:val="16"/>
                <w:szCs w:val="16"/>
                <w:u w:val="single"/>
              </w:rPr>
              <w:t>Wellness Court Policies &amp; Procedures</w:t>
            </w:r>
          </w:p>
          <w:p w:rsidR="00A25726" w:rsidRPr="001B4BFF" w:rsidRDefault="00A25726" w:rsidP="002812C3">
            <w:pPr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gridSpan w:val="2"/>
          </w:tcPr>
          <w:p w:rsidR="00A25726" w:rsidRPr="00B47844" w:rsidRDefault="00A25726" w:rsidP="00B47844">
            <w:pPr>
              <w:spacing w:after="60"/>
              <w:jc w:val="center"/>
              <w:rPr>
                <w:sz w:val="18"/>
                <w:u w:val="single"/>
              </w:rPr>
            </w:pPr>
            <w:r w:rsidRPr="00886FEE">
              <w:rPr>
                <w:sz w:val="18"/>
                <w:u w:val="single"/>
              </w:rPr>
              <w:t>Code/Statute Sections</w:t>
            </w:r>
          </w:p>
        </w:tc>
      </w:tr>
      <w:tr w:rsidR="00A25726" w:rsidRPr="00101976" w:rsidTr="007E4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gridSpan w:val="2"/>
            <w:vMerge/>
          </w:tcPr>
          <w:p w:rsidR="00A25726" w:rsidRPr="001B4BFF" w:rsidRDefault="00A25726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gridSpan w:val="2"/>
            <w:vMerge/>
          </w:tcPr>
          <w:p w:rsidR="00A25726" w:rsidRPr="001B4BFF" w:rsidRDefault="00A25726" w:rsidP="001B4BFF">
            <w:pPr>
              <w:spacing w:before="60" w:after="6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gridSpan w:val="2"/>
          </w:tcPr>
          <w:p w:rsidR="00A25726" w:rsidRPr="00B47844" w:rsidRDefault="00A25726" w:rsidP="00E41A80">
            <w:pPr>
              <w:jc w:val="center"/>
              <w:rPr>
                <w:sz w:val="18"/>
                <w:u w:val="single"/>
              </w:rPr>
            </w:pPr>
            <w:r w:rsidRPr="00886FEE">
              <w:rPr>
                <w:sz w:val="18"/>
                <w:u w:val="single"/>
              </w:rPr>
              <w:t>Code/Statute Sections</w:t>
            </w:r>
          </w:p>
        </w:tc>
      </w:tr>
      <w:tr w:rsidR="00A25726" w:rsidRPr="00101976" w:rsidTr="007E47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:rsidR="00A25726" w:rsidRPr="001B4BFF" w:rsidRDefault="00A25726" w:rsidP="00A25B30">
            <w:pPr>
              <w:spacing w:before="60" w:after="60"/>
              <w:rPr>
                <w:sz w:val="18"/>
              </w:rPr>
            </w:pPr>
            <w:r>
              <w:rPr>
                <w:color w:val="003366"/>
                <w:sz w:val="18"/>
              </w:rPr>
              <w:t xml:space="preserve">Resources/Technology:    </w:t>
            </w:r>
            <w:hyperlink r:id="rId12" w:history="1">
              <w:r w:rsidR="00A25B30" w:rsidRPr="00576777">
                <w:rPr>
                  <w:rStyle w:val="Hyperlink"/>
                  <w:sz w:val="18"/>
                </w:rPr>
                <w:t>www.WellnessCourts.org</w:t>
              </w:r>
            </w:hyperlink>
            <w:r w:rsidR="00A25B30">
              <w:rPr>
                <w:color w:val="003366"/>
                <w:sz w:val="18"/>
              </w:rPr>
              <w:t xml:space="preserve">  </w:t>
            </w:r>
            <w:hyperlink r:id="rId13" w:history="1">
              <w:r w:rsidR="000D08D5" w:rsidRPr="002B4EAE">
                <w:rPr>
                  <w:rStyle w:val="Hyperlink"/>
                  <w:sz w:val="18"/>
                </w:rPr>
                <w:t>www.home.tlpi.org</w:t>
              </w:r>
            </w:hyperlink>
            <w:r>
              <w:rPr>
                <w:sz w:val="18"/>
              </w:rPr>
              <w:t xml:space="preserve">, </w:t>
            </w:r>
            <w:hyperlink r:id="rId14" w:history="1">
              <w:r w:rsidR="00812E6C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812E6C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812E6C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812E6C" w:rsidRPr="00A40F47">
              <w:rPr>
                <w:sz w:val="18"/>
                <w:szCs w:val="18"/>
              </w:rPr>
              <w:t xml:space="preserve"> , </w:t>
            </w:r>
            <w:hyperlink r:id="rId16" w:history="1">
              <w:r w:rsidR="00812E6C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812E6C" w:rsidRPr="00A40F47">
              <w:rPr>
                <w:sz w:val="18"/>
                <w:szCs w:val="18"/>
              </w:rPr>
              <w:t xml:space="preserve">, </w:t>
            </w:r>
            <w:hyperlink r:id="rId17" w:history="1">
              <w:r w:rsidR="00812E6C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812E6C" w:rsidRPr="00A40F47">
              <w:rPr>
                <w:sz w:val="18"/>
                <w:szCs w:val="18"/>
              </w:rPr>
              <w:t xml:space="preserve">  </w:t>
            </w:r>
          </w:p>
        </w:tc>
      </w:tr>
    </w:tbl>
    <w:p w:rsidR="001F0083" w:rsidRDefault="001F0083" w:rsidP="00101976">
      <w:pPr>
        <w:rPr>
          <w:color w:val="FF0000"/>
        </w:rPr>
      </w:pPr>
    </w:p>
    <w:p w:rsidR="00421AAB" w:rsidRPr="0022686E" w:rsidRDefault="00421AAB" w:rsidP="00101976">
      <w:pPr>
        <w:rPr>
          <w:color w:val="FF0000"/>
        </w:rPr>
      </w:pPr>
    </w:p>
    <w:sectPr w:rsidR="00421AAB" w:rsidRPr="0022686E" w:rsidSect="00F66745">
      <w:footerReference w:type="default" r:id="rId18"/>
      <w:endnotePr>
        <w:numFmt w:val="decimal"/>
      </w:endnotePr>
      <w:pgSz w:w="12240" w:h="15840" w:code="1"/>
      <w:pgMar w:top="576" w:right="576" w:bottom="360" w:left="576" w:header="576" w:footer="2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61" w:rsidRDefault="00B41A61">
      <w:pPr>
        <w:spacing w:line="20" w:lineRule="exact"/>
      </w:pPr>
    </w:p>
  </w:endnote>
  <w:endnote w:type="continuationSeparator" w:id="0">
    <w:p w:rsidR="00B41A61" w:rsidRDefault="00B41A61">
      <w:r>
        <w:t xml:space="preserve"> </w:t>
      </w:r>
    </w:p>
  </w:endnote>
  <w:endnote w:type="continuationNotice" w:id="1">
    <w:p w:rsidR="00B41A61" w:rsidRDefault="00B41A6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 xml:space="preserve">HEALING TO WELLNESS COURT </w:t>
    </w:r>
    <w:proofErr w:type="gramStart"/>
    <w:r w:rsidR="00555B1E" w:rsidRPr="00555B1E">
      <w:rPr>
        <w:rFonts w:cs="Arial"/>
        <w:b/>
        <w:bCs/>
        <w:sz w:val="10"/>
        <w:szCs w:val="10"/>
      </w:rPr>
      <w:t>–  KEY</w:t>
    </w:r>
    <w:proofErr w:type="gramEnd"/>
    <w:r w:rsidR="00555B1E" w:rsidRPr="00555B1E">
      <w:rPr>
        <w:rFonts w:cs="Arial"/>
        <w:b/>
        <w:bCs/>
        <w:sz w:val="10"/>
        <w:szCs w:val="10"/>
      </w:rPr>
      <w:t xml:space="preserve"> COMPONENT BENCH CARD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61" w:rsidRDefault="00B41A61">
      <w:r>
        <w:separator/>
      </w:r>
    </w:p>
  </w:footnote>
  <w:footnote w:type="continuationSeparator" w:id="0">
    <w:p w:rsidR="00B41A61" w:rsidRDefault="00B4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B5"/>
    <w:multiLevelType w:val="hybridMultilevel"/>
    <w:tmpl w:val="F32EAD8A"/>
    <w:lvl w:ilvl="0" w:tplc="BF301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3948"/>
    <w:rsid w:val="00006252"/>
    <w:rsid w:val="000120F6"/>
    <w:rsid w:val="00030C07"/>
    <w:rsid w:val="00050936"/>
    <w:rsid w:val="00057823"/>
    <w:rsid w:val="00066A49"/>
    <w:rsid w:val="00086699"/>
    <w:rsid w:val="00087EF0"/>
    <w:rsid w:val="000A56A6"/>
    <w:rsid w:val="000B6D49"/>
    <w:rsid w:val="000C7B8D"/>
    <w:rsid w:val="000C7CE4"/>
    <w:rsid w:val="000D08D5"/>
    <w:rsid w:val="000E2BDD"/>
    <w:rsid w:val="000E38AE"/>
    <w:rsid w:val="000F01DA"/>
    <w:rsid w:val="00101976"/>
    <w:rsid w:val="001054B4"/>
    <w:rsid w:val="00105873"/>
    <w:rsid w:val="00146F85"/>
    <w:rsid w:val="00157BA2"/>
    <w:rsid w:val="00170982"/>
    <w:rsid w:val="00171494"/>
    <w:rsid w:val="00177B06"/>
    <w:rsid w:val="001B4BFF"/>
    <w:rsid w:val="001F0083"/>
    <w:rsid w:val="002001D7"/>
    <w:rsid w:val="00214811"/>
    <w:rsid w:val="0021500A"/>
    <w:rsid w:val="0022686E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12C3"/>
    <w:rsid w:val="0028134B"/>
    <w:rsid w:val="00284167"/>
    <w:rsid w:val="002A7D7F"/>
    <w:rsid w:val="002C38EC"/>
    <w:rsid w:val="002D3E60"/>
    <w:rsid w:val="002F1645"/>
    <w:rsid w:val="002F2DDE"/>
    <w:rsid w:val="00300240"/>
    <w:rsid w:val="0032411C"/>
    <w:rsid w:val="0037031E"/>
    <w:rsid w:val="003855CF"/>
    <w:rsid w:val="00391300"/>
    <w:rsid w:val="003B0B15"/>
    <w:rsid w:val="003B3A75"/>
    <w:rsid w:val="003C5795"/>
    <w:rsid w:val="003D7BE3"/>
    <w:rsid w:val="003F2F29"/>
    <w:rsid w:val="00401E94"/>
    <w:rsid w:val="00405287"/>
    <w:rsid w:val="00421AAB"/>
    <w:rsid w:val="0042410B"/>
    <w:rsid w:val="00425E65"/>
    <w:rsid w:val="00426CFE"/>
    <w:rsid w:val="004446E1"/>
    <w:rsid w:val="0045023F"/>
    <w:rsid w:val="004B05CD"/>
    <w:rsid w:val="004B2036"/>
    <w:rsid w:val="004E14F3"/>
    <w:rsid w:val="004F04DC"/>
    <w:rsid w:val="005243D9"/>
    <w:rsid w:val="0053784F"/>
    <w:rsid w:val="00550D29"/>
    <w:rsid w:val="00552199"/>
    <w:rsid w:val="00555B1E"/>
    <w:rsid w:val="00562861"/>
    <w:rsid w:val="00566D24"/>
    <w:rsid w:val="00567658"/>
    <w:rsid w:val="00571E71"/>
    <w:rsid w:val="00572C38"/>
    <w:rsid w:val="005751FE"/>
    <w:rsid w:val="00575DB7"/>
    <w:rsid w:val="005A2106"/>
    <w:rsid w:val="005A2DC8"/>
    <w:rsid w:val="005A5AC4"/>
    <w:rsid w:val="005A6D9A"/>
    <w:rsid w:val="005D4FFA"/>
    <w:rsid w:val="005E38EA"/>
    <w:rsid w:val="005E57D2"/>
    <w:rsid w:val="005E7C6C"/>
    <w:rsid w:val="00601ADD"/>
    <w:rsid w:val="00605726"/>
    <w:rsid w:val="006170EB"/>
    <w:rsid w:val="00631E44"/>
    <w:rsid w:val="0066237E"/>
    <w:rsid w:val="00663AE4"/>
    <w:rsid w:val="0067005F"/>
    <w:rsid w:val="00673BE2"/>
    <w:rsid w:val="006829BD"/>
    <w:rsid w:val="00686A7B"/>
    <w:rsid w:val="00695B71"/>
    <w:rsid w:val="006A18B5"/>
    <w:rsid w:val="006C11FD"/>
    <w:rsid w:val="006C2B44"/>
    <w:rsid w:val="006C3347"/>
    <w:rsid w:val="006C46EA"/>
    <w:rsid w:val="006C5D02"/>
    <w:rsid w:val="006C7E48"/>
    <w:rsid w:val="006D1976"/>
    <w:rsid w:val="006E28D5"/>
    <w:rsid w:val="00704098"/>
    <w:rsid w:val="007109D5"/>
    <w:rsid w:val="00711DDF"/>
    <w:rsid w:val="00724F0D"/>
    <w:rsid w:val="0073127A"/>
    <w:rsid w:val="00732DCF"/>
    <w:rsid w:val="00735F3F"/>
    <w:rsid w:val="00737E0F"/>
    <w:rsid w:val="00747948"/>
    <w:rsid w:val="00752362"/>
    <w:rsid w:val="007528D8"/>
    <w:rsid w:val="007577FD"/>
    <w:rsid w:val="00760830"/>
    <w:rsid w:val="00764501"/>
    <w:rsid w:val="00764D0F"/>
    <w:rsid w:val="00766806"/>
    <w:rsid w:val="00766A7F"/>
    <w:rsid w:val="007823DE"/>
    <w:rsid w:val="00790EC5"/>
    <w:rsid w:val="007A07EE"/>
    <w:rsid w:val="007B6342"/>
    <w:rsid w:val="007C1713"/>
    <w:rsid w:val="007C7DEB"/>
    <w:rsid w:val="007D3CA0"/>
    <w:rsid w:val="007E450E"/>
    <w:rsid w:val="007E4751"/>
    <w:rsid w:val="007F5C7E"/>
    <w:rsid w:val="008003FC"/>
    <w:rsid w:val="00804042"/>
    <w:rsid w:val="008055A3"/>
    <w:rsid w:val="00812E6C"/>
    <w:rsid w:val="00816C43"/>
    <w:rsid w:val="00821EE8"/>
    <w:rsid w:val="008227AF"/>
    <w:rsid w:val="00837E6F"/>
    <w:rsid w:val="00845392"/>
    <w:rsid w:val="008621AC"/>
    <w:rsid w:val="00870655"/>
    <w:rsid w:val="00871394"/>
    <w:rsid w:val="00880194"/>
    <w:rsid w:val="0088321D"/>
    <w:rsid w:val="00886FEE"/>
    <w:rsid w:val="008B197D"/>
    <w:rsid w:val="008B4AEE"/>
    <w:rsid w:val="008B6FBE"/>
    <w:rsid w:val="008C2A67"/>
    <w:rsid w:val="008D5B58"/>
    <w:rsid w:val="008E04B7"/>
    <w:rsid w:val="008F33F0"/>
    <w:rsid w:val="0090251E"/>
    <w:rsid w:val="009039C0"/>
    <w:rsid w:val="00926506"/>
    <w:rsid w:val="00931509"/>
    <w:rsid w:val="00954B43"/>
    <w:rsid w:val="00961F99"/>
    <w:rsid w:val="009725E2"/>
    <w:rsid w:val="00977A2C"/>
    <w:rsid w:val="009A0B65"/>
    <w:rsid w:val="009B5BC9"/>
    <w:rsid w:val="009B71C9"/>
    <w:rsid w:val="009D294F"/>
    <w:rsid w:val="009D7532"/>
    <w:rsid w:val="009E5B0B"/>
    <w:rsid w:val="009F6677"/>
    <w:rsid w:val="00A01A19"/>
    <w:rsid w:val="00A25726"/>
    <w:rsid w:val="00A25B30"/>
    <w:rsid w:val="00A311B5"/>
    <w:rsid w:val="00A3246A"/>
    <w:rsid w:val="00A350C1"/>
    <w:rsid w:val="00A45214"/>
    <w:rsid w:val="00A5625B"/>
    <w:rsid w:val="00A73F2F"/>
    <w:rsid w:val="00A8266C"/>
    <w:rsid w:val="00A90FF1"/>
    <w:rsid w:val="00AA5B39"/>
    <w:rsid w:val="00AD70EB"/>
    <w:rsid w:val="00AE0581"/>
    <w:rsid w:val="00AE2AEF"/>
    <w:rsid w:val="00AE5F77"/>
    <w:rsid w:val="00B25B9A"/>
    <w:rsid w:val="00B26E15"/>
    <w:rsid w:val="00B40471"/>
    <w:rsid w:val="00B41A61"/>
    <w:rsid w:val="00B41C89"/>
    <w:rsid w:val="00B42764"/>
    <w:rsid w:val="00B42BFB"/>
    <w:rsid w:val="00B47844"/>
    <w:rsid w:val="00B47A5A"/>
    <w:rsid w:val="00B55962"/>
    <w:rsid w:val="00B729FF"/>
    <w:rsid w:val="00B75D85"/>
    <w:rsid w:val="00B8575F"/>
    <w:rsid w:val="00BC016E"/>
    <w:rsid w:val="00C02B75"/>
    <w:rsid w:val="00C064A9"/>
    <w:rsid w:val="00C11A7D"/>
    <w:rsid w:val="00C24827"/>
    <w:rsid w:val="00C26F46"/>
    <w:rsid w:val="00C40480"/>
    <w:rsid w:val="00C47C4B"/>
    <w:rsid w:val="00CB2D24"/>
    <w:rsid w:val="00CB77C1"/>
    <w:rsid w:val="00CC0C5D"/>
    <w:rsid w:val="00CC36F5"/>
    <w:rsid w:val="00CD59A2"/>
    <w:rsid w:val="00CD6139"/>
    <w:rsid w:val="00CE1F33"/>
    <w:rsid w:val="00CE7B39"/>
    <w:rsid w:val="00CF7CF8"/>
    <w:rsid w:val="00D11668"/>
    <w:rsid w:val="00D1326B"/>
    <w:rsid w:val="00D17B1B"/>
    <w:rsid w:val="00D274C5"/>
    <w:rsid w:val="00D47D02"/>
    <w:rsid w:val="00D52FBD"/>
    <w:rsid w:val="00D738E1"/>
    <w:rsid w:val="00DF049A"/>
    <w:rsid w:val="00DF4DFD"/>
    <w:rsid w:val="00E007DF"/>
    <w:rsid w:val="00E16CDD"/>
    <w:rsid w:val="00E26413"/>
    <w:rsid w:val="00E3389F"/>
    <w:rsid w:val="00E37F27"/>
    <w:rsid w:val="00E41A80"/>
    <w:rsid w:val="00E44B9E"/>
    <w:rsid w:val="00E55A2C"/>
    <w:rsid w:val="00E5766C"/>
    <w:rsid w:val="00E61914"/>
    <w:rsid w:val="00E67C04"/>
    <w:rsid w:val="00E83DDC"/>
    <w:rsid w:val="00E93174"/>
    <w:rsid w:val="00E94BFA"/>
    <w:rsid w:val="00E955C6"/>
    <w:rsid w:val="00EA0BC3"/>
    <w:rsid w:val="00EA7A6F"/>
    <w:rsid w:val="00EC6DB2"/>
    <w:rsid w:val="00EE1A4B"/>
    <w:rsid w:val="00EF0F2A"/>
    <w:rsid w:val="00EF54BA"/>
    <w:rsid w:val="00F218E7"/>
    <w:rsid w:val="00F32B0B"/>
    <w:rsid w:val="00F33B56"/>
    <w:rsid w:val="00F47042"/>
    <w:rsid w:val="00F608D9"/>
    <w:rsid w:val="00F66745"/>
    <w:rsid w:val="00F66E9C"/>
    <w:rsid w:val="00FA136B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A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0E38AE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0E38AE"/>
    <w:pPr>
      <w:suppressAutoHyphens/>
      <w:ind w:left="2880" w:hanging="720"/>
    </w:pPr>
  </w:style>
  <w:style w:type="table" w:styleId="TableGrid">
    <w:name w:val="Table Grid"/>
    <w:basedOn w:val="TableNormal"/>
    <w:rsid w:val="000E38A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38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38A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E38AE"/>
    <w:rPr>
      <w:rFonts w:ascii="Times Roman" w:hAnsi="Times Roman"/>
    </w:rPr>
  </w:style>
  <w:style w:type="paragraph" w:customStyle="1" w:styleId="TemplateBody">
    <w:name w:val="Template Body"/>
    <w:basedOn w:val="Normal"/>
    <w:rsid w:val="000E38AE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0E38AE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0E38AE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0E38AE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0E38AE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0E38AE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003948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A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0E38AE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0E38AE"/>
    <w:pPr>
      <w:suppressAutoHyphens/>
      <w:ind w:left="2880" w:hanging="720"/>
    </w:pPr>
  </w:style>
  <w:style w:type="table" w:styleId="TableGrid">
    <w:name w:val="Table Grid"/>
    <w:basedOn w:val="TableNormal"/>
    <w:rsid w:val="000E38A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38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38A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E38AE"/>
    <w:rPr>
      <w:rFonts w:ascii="Times Roman" w:hAnsi="Times Roman"/>
    </w:rPr>
  </w:style>
  <w:style w:type="paragraph" w:customStyle="1" w:styleId="TemplateBody">
    <w:name w:val="Template Body"/>
    <w:basedOn w:val="Normal"/>
    <w:rsid w:val="000E38AE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0E38AE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0E38AE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0E38AE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0E38AE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0E38AE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003948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.tlpi.or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WellnessCourts.org" TargetMode="External"/><Relationship Id="rId17" Type="http://schemas.openxmlformats.org/officeDocument/2006/relationships/hyperlink" Target="http://www.drugcourtonl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dcdr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yperlink" Target="http://www.american.edu/spa/jpo/initiatives/drug-court/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4ADC0-2AF6-47BB-B8AB-7842D5AC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30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6</cp:revision>
  <cp:lastPrinted>2012-10-16T18:12:00Z</cp:lastPrinted>
  <dcterms:created xsi:type="dcterms:W3CDTF">2015-08-25T20:49:00Z</dcterms:created>
  <dcterms:modified xsi:type="dcterms:W3CDTF">2016-04-21T23:57:00Z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