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10810" w:type="dxa"/>
        <w:jc w:val="center"/>
        <w:tblInd w:w="683" w:type="dxa"/>
        <w:tblLook w:val="01E0" w:firstRow="1" w:lastRow="1" w:firstColumn="1" w:lastColumn="1" w:noHBand="0" w:noVBand="0"/>
      </w:tblPr>
      <w:tblGrid>
        <w:gridCol w:w="1347"/>
        <w:gridCol w:w="289"/>
        <w:gridCol w:w="4233"/>
        <w:gridCol w:w="1617"/>
        <w:gridCol w:w="1725"/>
        <w:gridCol w:w="546"/>
        <w:gridCol w:w="490"/>
        <w:gridCol w:w="563"/>
      </w:tblGrid>
      <w:tr w:rsidR="001F0083" w:rsidRPr="00101976" w:rsidTr="001C7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0" w:type="dxa"/>
            <w:gridSpan w:val="8"/>
          </w:tcPr>
          <w:p w:rsidR="00E16CDD" w:rsidRPr="00C26702" w:rsidRDefault="001C75D7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</w:pPr>
            <w:r w:rsidRPr="00C26702">
              <w:rPr>
                <w:rFonts w:ascii="Times New Roman" w:hAnsi="Times New Roman"/>
                <w:caps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DD9DB2" wp14:editId="6CF78F93">
                      <wp:simplePos x="0" y="0"/>
                      <wp:positionH relativeFrom="column">
                        <wp:posOffset>5873115</wp:posOffset>
                      </wp:positionH>
                      <wp:positionV relativeFrom="paragraph">
                        <wp:posOffset>130810</wp:posOffset>
                      </wp:positionV>
                      <wp:extent cx="822960" cy="914400"/>
                      <wp:effectExtent l="0" t="0" r="1524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662887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2.45pt;margin-top:10.3pt;width:64.8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" fillcolor="white [3201]" strokeweight=".5pt">
                      <v:textbox>
                        <w:txbxContent>
                          <w:p w:rsidR="005243D9" w:rsidRPr="005243D9" w:rsidRDefault="00662887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3E0" w:rsidRPr="006921BE">
              <w:rPr>
                <w:rFonts w:ascii="Times New Roman" w:hAnsi="Times New Roman"/>
                <w:caps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EC8BF4E" wp14:editId="2660064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16510</wp:posOffset>
                      </wp:positionV>
                      <wp:extent cx="1339215" cy="429260"/>
                      <wp:effectExtent l="0" t="0" r="13335" b="2794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9215" cy="42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3E0" w:rsidRPr="00C412FE" w:rsidRDefault="006E63E0" w:rsidP="006E63E0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</w:pPr>
                                  <w:r w:rsidRPr="00C412FE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>The Judge as</w:t>
                                  </w:r>
                                  <w:r w:rsidR="00662887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 xml:space="preserve"> Champion</w:t>
                                  </w:r>
                                  <w:r w:rsidRPr="00C412FE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br/>
                                  </w:r>
                                  <w:r w:rsidR="00662887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>for Health &amp; Wellness</w:t>
                                  </w:r>
                                </w:p>
                                <w:p w:rsidR="006E63E0" w:rsidRPr="005243D9" w:rsidRDefault="006E63E0" w:rsidP="006E63E0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0C79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.1pt;margin-top:1.3pt;width:105.45pt;height:33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" fillcolor="#d8d8d8 [2732]" strokeweight=".5pt">
                      <v:path arrowok="t"/>
                      <v:textbox>
                        <w:txbxContent>
                          <w:p w:rsidR="006E63E0" w:rsidRPr="00C412FE" w:rsidRDefault="006E63E0" w:rsidP="006E63E0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</w:pPr>
                            <w:r w:rsidRPr="00C412FE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>The Judge as</w:t>
                            </w:r>
                            <w:r w:rsidR="00662887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 xml:space="preserve"> Champion</w:t>
                            </w:r>
                            <w:r w:rsidRPr="00C412FE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br/>
                            </w:r>
                            <w:r w:rsidR="00662887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>for Health &amp; Wellness</w:t>
                            </w:r>
                          </w:p>
                          <w:p w:rsidR="006E63E0" w:rsidRPr="005243D9" w:rsidRDefault="006E63E0" w:rsidP="006E63E0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CDD" w:rsidRPr="00C26702"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  <w:t>healing to wellness court</w:t>
            </w:r>
          </w:p>
          <w:p w:rsidR="00B729FF" w:rsidRPr="00B729FF" w:rsidRDefault="00B729FF" w:rsidP="00E16CDD">
            <w:pPr>
              <w:pStyle w:val="Heading1"/>
              <w:spacing w:before="0" w:after="0"/>
              <w:outlineLvl w:val="0"/>
            </w:pPr>
            <w:r w:rsidRPr="00C26702"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  <w:t>Key component Bench Card</w:t>
            </w:r>
          </w:p>
        </w:tc>
      </w:tr>
      <w:tr w:rsidR="004446E1" w:rsidRPr="001B4BFF" w:rsidTr="001C75D7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1" w:type="dxa"/>
          <w:trHeight w:val="1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  <w:vAlign w:val="center"/>
          </w:tcPr>
          <w:p w:rsidR="00E83DDC" w:rsidRPr="00A77907" w:rsidRDefault="006C3347" w:rsidP="00662887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caps w:val="0"/>
              </w:rPr>
            </w:pPr>
            <w:r w:rsidRPr="00A77907">
              <w:rPr>
                <w:rFonts w:ascii="Arial" w:hAnsi="Arial" w:cs="Arial"/>
                <w:caps w:val="0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3C82F4E" wp14:editId="51CB886B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619C78" id="_x0000_s1028" type="#_x0000_t202" style="position:absolute;margin-left:613.3pt;margin-top:-1.5pt;width:59.25pt;height:5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  <w:r w:rsidR="00662887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 xml:space="preserve">Tribal Healing to Wellness Court provides access to holistic, structured, and phased alcohol and drug abuse treatment and rehabilitation services that incorporate culture and tradition. </w:t>
            </w:r>
          </w:p>
        </w:tc>
      </w:tr>
      <w:tr w:rsidR="007A07EE" w:rsidRPr="00101976" w:rsidTr="001C7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2" w:type="dxa"/>
            <w:gridSpan w:val="4"/>
          </w:tcPr>
          <w:p w:rsidR="00880140" w:rsidRPr="00A77907" w:rsidRDefault="00555B1E" w:rsidP="00555B1E">
            <w:pPr>
              <w:spacing w:before="60" w:after="60"/>
              <w:jc w:val="center"/>
              <w:rPr>
                <w:bCs w:val="0"/>
                <w:color w:val="215868" w:themeColor="accent5" w:themeShade="80"/>
                <w:sz w:val="18"/>
                <w:u w:val="single"/>
              </w:rPr>
            </w:pPr>
            <w:r w:rsidRPr="00A77907">
              <w:rPr>
                <w:color w:val="215868" w:themeColor="accent5" w:themeShade="80"/>
                <w:sz w:val="18"/>
                <w:u w:val="single"/>
              </w:rPr>
              <w:t>Key</w:t>
            </w:r>
            <w:r w:rsidR="007A07EE" w:rsidRPr="00A77907">
              <w:rPr>
                <w:color w:val="215868" w:themeColor="accent5" w:themeShade="80"/>
                <w:sz w:val="18"/>
                <w:u w:val="single"/>
              </w:rPr>
              <w:t xml:space="preserve"> </w:t>
            </w:r>
            <w:r w:rsidRPr="00A77907">
              <w:rPr>
                <w:color w:val="215868" w:themeColor="accent5" w:themeShade="80"/>
                <w:sz w:val="18"/>
                <w:u w:val="single"/>
              </w:rPr>
              <w:t xml:space="preserve">Concepts, </w:t>
            </w:r>
            <w:r w:rsidR="007A07EE" w:rsidRPr="00A77907">
              <w:rPr>
                <w:color w:val="215868" w:themeColor="accent5" w:themeShade="80"/>
                <w:sz w:val="18"/>
                <w:u w:val="single"/>
              </w:rPr>
              <w:t>Considerations</w:t>
            </w:r>
            <w:r w:rsidR="00F16464" w:rsidRPr="00A77907">
              <w:rPr>
                <w:color w:val="215868" w:themeColor="accent5" w:themeShade="80"/>
                <w:sz w:val="18"/>
                <w:u w:val="single"/>
              </w:rPr>
              <w:t xml:space="preserve">, &amp; </w:t>
            </w:r>
            <w:r w:rsidR="00ED2F19" w:rsidRPr="00A77907">
              <w:rPr>
                <w:color w:val="215868" w:themeColor="accent5" w:themeShade="80"/>
                <w:sz w:val="18"/>
                <w:u w:val="single"/>
              </w:rPr>
              <w:t>Questions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6" w:space="0" w:color="31849B" w:themeColor="accent5" w:themeShade="BF"/>
                <w:insideV w:val="single" w:sz="6" w:space="0" w:color="31849B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1500"/>
              <w:gridCol w:w="5760"/>
            </w:tblGrid>
            <w:tr w:rsidR="004F7938" w:rsidTr="001C08F5">
              <w:trPr>
                <w:trHeight w:val="432"/>
              </w:trPr>
              <w:tc>
                <w:tcPr>
                  <w:tcW w:w="0" w:type="auto"/>
                  <w:vAlign w:val="center"/>
                </w:tcPr>
                <w:p w:rsidR="004F7938" w:rsidRPr="00A77907" w:rsidRDefault="00662887" w:rsidP="004F7938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Healing Resources</w:t>
                  </w:r>
                </w:p>
              </w:tc>
              <w:tc>
                <w:tcPr>
                  <w:tcW w:w="5760" w:type="dxa"/>
                  <w:vAlign w:val="center"/>
                </w:tcPr>
                <w:p w:rsidR="004F7938" w:rsidRDefault="00662887" w:rsidP="001C75D7"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Are all available healing resources in use by Court? Listed? </w:t>
                  </w:r>
                  <w:r w:rsidR="001C75D7">
                    <w:rPr>
                      <w:color w:val="000000" w:themeColor="text1"/>
                      <w:sz w:val="18"/>
                      <w:szCs w:val="18"/>
                    </w:rPr>
                    <w:t>E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ffective?</w:t>
                  </w:r>
                </w:p>
              </w:tc>
            </w:tr>
            <w:tr w:rsidR="00662887" w:rsidTr="001C08F5">
              <w:trPr>
                <w:trHeight w:val="432"/>
              </w:trPr>
              <w:tc>
                <w:tcPr>
                  <w:tcW w:w="0" w:type="auto"/>
                  <w:vMerge w:val="restart"/>
                  <w:vAlign w:val="center"/>
                </w:tcPr>
                <w:p w:rsidR="00662887" w:rsidRPr="00A77907" w:rsidRDefault="00662887" w:rsidP="00662887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Treatment &amp; Rehabilitation</w:t>
                  </w:r>
                </w:p>
              </w:tc>
              <w:tc>
                <w:tcPr>
                  <w:tcW w:w="5760" w:type="dxa"/>
                  <w:vAlign w:val="center"/>
                </w:tcPr>
                <w:p w:rsidR="00662887" w:rsidRDefault="00662887" w:rsidP="00662887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color w:val="000000" w:themeColor="text1"/>
                      <w:sz w:val="18"/>
                    </w:rPr>
                    <w:t>Does the team have working knowledge regarding service providers (treatment &amp; ancillary)?</w:t>
                  </w:r>
                </w:p>
              </w:tc>
            </w:tr>
            <w:tr w:rsidR="00662887" w:rsidTr="001C08F5">
              <w:trPr>
                <w:trHeight w:val="435"/>
              </w:trPr>
              <w:tc>
                <w:tcPr>
                  <w:tcW w:w="0" w:type="auto"/>
                  <w:vMerge/>
                  <w:vAlign w:val="center"/>
                </w:tcPr>
                <w:p w:rsidR="00662887" w:rsidRPr="006B4CB6" w:rsidRDefault="00662887" w:rsidP="00662887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662887" w:rsidRPr="00ED6B44" w:rsidRDefault="00662887" w:rsidP="00662887">
                  <w:pPr>
                    <w:tabs>
                      <w:tab w:val="left" w:pos="2160"/>
                    </w:tabs>
                    <w:rPr>
                      <w:b/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Are MOUs in place for each service provider on an updated roster?</w:t>
                  </w:r>
                </w:p>
              </w:tc>
            </w:tr>
            <w:tr w:rsidR="00662887" w:rsidTr="001C08F5">
              <w:trPr>
                <w:trHeight w:val="432"/>
              </w:trPr>
              <w:tc>
                <w:tcPr>
                  <w:tcW w:w="0" w:type="auto"/>
                  <w:vMerge/>
                  <w:vAlign w:val="center"/>
                </w:tcPr>
                <w:p w:rsidR="00662887" w:rsidRPr="006B4CB6" w:rsidRDefault="00662887" w:rsidP="00662887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662887" w:rsidRDefault="00662887" w:rsidP="00662887">
                  <w:pPr>
                    <w:spacing w:before="60" w:after="60"/>
                    <w:rPr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color w:val="000000" w:themeColor="text1"/>
                      <w:sz w:val="18"/>
                    </w:rPr>
                    <w:t>Does the Court receive timely status report of client compliance for week?</w:t>
                  </w:r>
                </w:p>
              </w:tc>
            </w:tr>
            <w:tr w:rsidR="00662887" w:rsidTr="001C75D7">
              <w:trPr>
                <w:trHeight w:val="624"/>
              </w:trPr>
              <w:tc>
                <w:tcPr>
                  <w:tcW w:w="0" w:type="auto"/>
                  <w:vAlign w:val="center"/>
                </w:tcPr>
                <w:p w:rsidR="00662887" w:rsidRPr="00F16464" w:rsidRDefault="00662887" w:rsidP="00662887">
                  <w:pPr>
                    <w:spacing w:before="60" w:after="60"/>
                    <w:rPr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Holistic</w:t>
                  </w:r>
                  <w:r>
                    <w:rPr>
                      <w:b/>
                      <w:color w:val="215868" w:themeColor="accent5" w:themeShade="80"/>
                      <w:sz w:val="18"/>
                    </w:rPr>
                    <w:br/>
                    <w:t>(Self &amp; Family)</w:t>
                  </w:r>
                </w:p>
              </w:tc>
              <w:tc>
                <w:tcPr>
                  <w:tcW w:w="5760" w:type="dxa"/>
                  <w:vAlign w:val="center"/>
                </w:tcPr>
                <w:p w:rsidR="00662887" w:rsidRPr="00ED6B44" w:rsidRDefault="00662887" w:rsidP="001C75D7">
                  <w:pPr>
                    <w:tabs>
                      <w:tab w:val="left" w:pos="2160"/>
                    </w:tabs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 xml:space="preserve">Do treatment plans involve health, wellness, and empowerment? Do they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include education, employment, housing, life-skills, etc.?</w:t>
                  </w:r>
                </w:p>
              </w:tc>
            </w:tr>
            <w:tr w:rsidR="00662887" w:rsidTr="001C08F5">
              <w:trPr>
                <w:trHeight w:val="432"/>
              </w:trPr>
              <w:tc>
                <w:tcPr>
                  <w:tcW w:w="0" w:type="auto"/>
                  <w:vAlign w:val="center"/>
                </w:tcPr>
                <w:p w:rsidR="00662887" w:rsidRDefault="00662887" w:rsidP="00662887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Structured &amp; Phased</w:t>
                  </w:r>
                </w:p>
              </w:tc>
              <w:tc>
                <w:tcPr>
                  <w:tcW w:w="5760" w:type="dxa"/>
                  <w:vAlign w:val="center"/>
                </w:tcPr>
                <w:p w:rsidR="00662887" w:rsidRPr="00662887" w:rsidRDefault="00662887" w:rsidP="00662887">
                  <w:pPr>
                    <w:tabs>
                      <w:tab w:val="left" w:pos="2160"/>
                    </w:tabs>
                    <w:rPr>
                      <w:b/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 xml:space="preserve">Do team/participants clearly understand how phases operate? </w:t>
                  </w:r>
                </w:p>
              </w:tc>
            </w:tr>
            <w:tr w:rsidR="00662887" w:rsidTr="001C08F5">
              <w:trPr>
                <w:trHeight w:val="432"/>
              </w:trPr>
              <w:tc>
                <w:tcPr>
                  <w:tcW w:w="0" w:type="auto"/>
                  <w:vAlign w:val="center"/>
                </w:tcPr>
                <w:p w:rsidR="00662887" w:rsidRPr="00757AFB" w:rsidRDefault="00662887" w:rsidP="00662887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Culture &amp; Tradition</w:t>
                  </w:r>
                </w:p>
              </w:tc>
              <w:tc>
                <w:tcPr>
                  <w:tcW w:w="5760" w:type="dxa"/>
                  <w:vAlign w:val="center"/>
                </w:tcPr>
                <w:p w:rsidR="00662887" w:rsidRPr="00E53011" w:rsidRDefault="00662887" w:rsidP="00662887">
                  <w:pPr>
                    <w:rPr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Is the Court’s overall process and treatment services co</w:t>
                  </w:r>
                  <w:r w:rsidR="001C75D7">
                    <w:rPr>
                      <w:color w:val="000000" w:themeColor="text1"/>
                      <w:sz w:val="18"/>
                    </w:rPr>
                    <w:t>mplimented by</w:t>
                  </w:r>
                  <w:r>
                    <w:rPr>
                      <w:color w:val="000000" w:themeColor="text1"/>
                      <w:sz w:val="18"/>
                    </w:rPr>
                    <w:t xml:space="preserve"> cultural component?</w:t>
                  </w:r>
                </w:p>
              </w:tc>
            </w:tr>
          </w:tbl>
          <w:p w:rsidR="007A07EE" w:rsidRPr="001B4BFF" w:rsidRDefault="007A07EE" w:rsidP="003F0DD1">
            <w:pPr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28" w:type="dxa"/>
            <w:gridSpan w:val="4"/>
          </w:tcPr>
          <w:p w:rsidR="007A07EE" w:rsidRDefault="008802FD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8802FD" w:rsidRDefault="008802FD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6E418F">
              <w:rPr>
                <w:sz w:val="24"/>
                <w:szCs w:val="24"/>
              </w:rPr>
              <w:t>Excerpt from Statute, P &amp; P, Court Rules, etc.</w:t>
            </w:r>
            <w:r>
              <w:rPr>
                <w:sz w:val="24"/>
                <w:szCs w:val="24"/>
              </w:rPr>
              <w:t>”</w:t>
            </w:r>
          </w:p>
          <w:p w:rsidR="006E418F" w:rsidRDefault="006E418F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E418F" w:rsidRDefault="006E418F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“Alumni Quote”</w:t>
            </w: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Pr="00A90831" w:rsidRDefault="00A90831" w:rsidP="001B4BFF">
            <w:pPr>
              <w:spacing w:before="60" w:after="60"/>
              <w:jc w:val="center"/>
              <w:rPr>
                <w:sz w:val="10"/>
                <w:szCs w:val="10"/>
              </w:rPr>
            </w:pPr>
          </w:p>
        </w:tc>
      </w:tr>
      <w:tr w:rsidR="00EE2FFB" w:rsidRPr="001B4BFF" w:rsidTr="001C7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0" w:type="dxa"/>
            <w:gridSpan w:val="8"/>
          </w:tcPr>
          <w:p w:rsidR="00EE2FFB" w:rsidRPr="009434C3" w:rsidRDefault="00C4555A" w:rsidP="00C4555A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 w:rsidRPr="00A77907">
              <w:rPr>
                <w:b/>
                <w:i/>
                <w:color w:val="215868" w:themeColor="accent5" w:themeShade="80"/>
              </w:rPr>
              <w:t>Jurist – Judicial</w:t>
            </w:r>
            <w:r w:rsidR="00061FA8">
              <w:rPr>
                <w:b/>
                <w:i/>
                <w:color w:val="215868" w:themeColor="accent5" w:themeShade="80"/>
              </w:rPr>
              <w:t xml:space="preserve"> </w:t>
            </w:r>
            <w:r w:rsidRPr="00A77907">
              <w:rPr>
                <w:b/>
                <w:i/>
                <w:color w:val="215868" w:themeColor="accent5" w:themeShade="80"/>
              </w:rPr>
              <w:t>roles &amp; responsiblities</w:t>
            </w:r>
            <w:r w:rsidR="00C67301" w:rsidRPr="00A77907">
              <w:rPr>
                <w:b/>
                <w:i/>
                <w:color w:val="215868" w:themeColor="accent5" w:themeShade="80"/>
              </w:rPr>
              <w:t xml:space="preserve">      </w:t>
            </w:r>
          </w:p>
        </w:tc>
      </w:tr>
      <w:tr w:rsidR="00EE2FFB" w:rsidRPr="00101976" w:rsidTr="001C7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Align w:val="center"/>
          </w:tcPr>
          <w:p w:rsidR="00EE2FFB" w:rsidRPr="00A77907" w:rsidRDefault="00A40F47" w:rsidP="00A40F47">
            <w:pPr>
              <w:spacing w:before="60" w:after="60"/>
              <w:jc w:val="center"/>
              <w:rPr>
                <w:color w:val="215868" w:themeColor="accent5" w:themeShade="80"/>
                <w:sz w:val="18"/>
              </w:rPr>
            </w:pPr>
            <w:r>
              <w:rPr>
                <w:color w:val="215868" w:themeColor="accent5" w:themeShade="80"/>
                <w:sz w:val="18"/>
              </w:rPr>
              <w:t>Functions and Formalities</w:t>
            </w:r>
          </w:p>
          <w:p w:rsidR="00C67301" w:rsidRPr="00755601" w:rsidRDefault="00C67301" w:rsidP="00A40F47">
            <w:pPr>
              <w:spacing w:before="60" w:after="60"/>
              <w:jc w:val="center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1" w:type="dxa"/>
            <w:gridSpan w:val="4"/>
          </w:tcPr>
          <w:p w:rsidR="00EE2FFB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Community Connection</w:t>
            </w:r>
            <w:r w:rsidR="0058311A">
              <w:rPr>
                <w:sz w:val="18"/>
              </w:rPr>
              <w:t xml:space="preserve"> –</w:t>
            </w:r>
            <w:r w:rsidR="00A40F47">
              <w:rPr>
                <w:sz w:val="18"/>
              </w:rPr>
              <w:t xml:space="preserve"> </w:t>
            </w:r>
            <w:r w:rsidR="006E1D97">
              <w:rPr>
                <w:sz w:val="18"/>
              </w:rPr>
              <w:t>Determine whether new community healing resources are available</w:t>
            </w:r>
          </w:p>
          <w:p w:rsidR="006E1D97" w:rsidRDefault="00EE2FFB" w:rsidP="009434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Tribal Council </w:t>
            </w:r>
            <w:r w:rsidR="00C4555A">
              <w:rPr>
                <w:sz w:val="18"/>
              </w:rPr>
              <w:t>Connection</w:t>
            </w:r>
            <w:r w:rsidR="003F0DD1">
              <w:rPr>
                <w:sz w:val="18"/>
              </w:rPr>
              <w:t xml:space="preserve"> </w:t>
            </w:r>
            <w:r w:rsidR="002D0842">
              <w:rPr>
                <w:sz w:val="18"/>
              </w:rPr>
              <w:t xml:space="preserve">– </w:t>
            </w:r>
            <w:r w:rsidR="006E1D97">
              <w:rPr>
                <w:sz w:val="18"/>
              </w:rPr>
              <w:t xml:space="preserve">Keep Tribal leadership informed of all partnerships serving Court </w:t>
            </w:r>
          </w:p>
          <w:p w:rsidR="00EE2FFB" w:rsidRPr="001B4BFF" w:rsidRDefault="00EE2FFB" w:rsidP="009434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Court Capability</w:t>
            </w:r>
            <w:r w:rsidR="002D0842">
              <w:rPr>
                <w:sz w:val="18"/>
              </w:rPr>
              <w:t xml:space="preserve"> – </w:t>
            </w:r>
            <w:r w:rsidR="006E1D97">
              <w:rPr>
                <w:sz w:val="18"/>
              </w:rPr>
              <w:t>Monitor caseload to assure maximum attention is provided participants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  <w:gridSpan w:val="2"/>
            <w:vAlign w:val="center"/>
          </w:tcPr>
          <w:p w:rsidR="00EE2FFB" w:rsidRPr="001B4BFF" w:rsidRDefault="00EE2FFB" w:rsidP="00E45613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D4E8F" w:rsidRPr="00101976" w:rsidTr="001C7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Align w:val="center"/>
          </w:tcPr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Legal Process</w:t>
            </w:r>
          </w:p>
          <w:p w:rsidR="001D4E8F" w:rsidRDefault="001D4E8F" w:rsidP="001D4E8F">
            <w:pPr>
              <w:jc w:val="center"/>
              <w:rPr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&amp; 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1" w:type="dxa"/>
            <w:gridSpan w:val="4"/>
          </w:tcPr>
          <w:p w:rsidR="006E1D97" w:rsidRDefault="006E1D97" w:rsidP="006E1D9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Regularly evaluate information sharing protocol with service providers/partners </w:t>
            </w:r>
          </w:p>
          <w:p w:rsidR="006E1D97" w:rsidRDefault="006E1D97" w:rsidP="006E1D9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Regularly assess whether confidentiality rules are understood and adhered to by team</w:t>
            </w:r>
          </w:p>
          <w:p w:rsidR="001D4E8F" w:rsidRPr="001B4BFF" w:rsidRDefault="006E1D97" w:rsidP="006E1D9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Ensure provider and participant clearly understand how information in assessments are utilized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  <w:gridSpan w:val="2"/>
            <w:vAlign w:val="center"/>
          </w:tcPr>
          <w:p w:rsidR="001D4E8F" w:rsidRPr="001B4BFF" w:rsidRDefault="001D4E8F" w:rsidP="001D4E8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D4E8F" w:rsidRPr="00157BA2" w:rsidTr="001C7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Align w:val="center"/>
          </w:tcPr>
          <w:p w:rsidR="001D4E8F" w:rsidRPr="001B4BFF" w:rsidRDefault="001D4E8F" w:rsidP="001D4E8F">
            <w:pPr>
              <w:spacing w:before="60" w:after="60"/>
              <w:jc w:val="center"/>
              <w:rPr>
                <w:b w:val="0"/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Ethics &amp; Protocol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1" w:type="dxa"/>
            <w:gridSpan w:val="4"/>
          </w:tcPr>
          <w:p w:rsidR="006E1D97" w:rsidRDefault="006E1D97" w:rsidP="006E1D9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At staffing, focus team on </w:t>
            </w:r>
            <w:r w:rsidR="001C75D7">
              <w:rPr>
                <w:sz w:val="18"/>
              </w:rPr>
              <w:t>issues of</w:t>
            </w:r>
            <w:r>
              <w:rPr>
                <w:sz w:val="18"/>
              </w:rPr>
              <w:t xml:space="preserve"> compliance. Leave issues of </w:t>
            </w:r>
            <w:proofErr w:type="spellStart"/>
            <w:r>
              <w:rPr>
                <w:sz w:val="18"/>
              </w:rPr>
              <w:t>Tx</w:t>
            </w:r>
            <w:proofErr w:type="spellEnd"/>
            <w:r>
              <w:rPr>
                <w:sz w:val="18"/>
              </w:rPr>
              <w:t xml:space="preserve"> to treatment provider.</w:t>
            </w:r>
          </w:p>
          <w:p w:rsidR="001D4E8F" w:rsidRPr="001B4BFF" w:rsidRDefault="006E1D97" w:rsidP="006E1D9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Periodically review Tribal, federal, and applicable state confidentiality laws/rules with Team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  <w:gridSpan w:val="2"/>
            <w:vAlign w:val="center"/>
          </w:tcPr>
          <w:p w:rsidR="001D4E8F" w:rsidRPr="001B4BFF" w:rsidRDefault="001D4E8F" w:rsidP="001D4E8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D4E8F" w:rsidRPr="00157BA2" w:rsidTr="001C7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Align w:val="center"/>
          </w:tcPr>
          <w:p w:rsidR="001D4E8F" w:rsidRPr="00A77907" w:rsidRDefault="001D4E8F" w:rsidP="001D4E8F">
            <w:pPr>
              <w:spacing w:before="60" w:after="60"/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Legal Context &amp; Considerations</w:t>
            </w:r>
          </w:p>
          <w:p w:rsidR="001D4E8F" w:rsidRPr="00C24C75" w:rsidRDefault="001D4E8F" w:rsidP="001D4E8F">
            <w:pPr>
              <w:spacing w:before="60" w:after="60"/>
              <w:jc w:val="center"/>
              <w:rPr>
                <w:b w:val="0"/>
                <w:i/>
                <w:color w:val="003366"/>
                <w:sz w:val="16"/>
                <w:szCs w:val="16"/>
              </w:rPr>
            </w:pPr>
            <w:r w:rsidRPr="00C24C75">
              <w:rPr>
                <w:b w:val="0"/>
                <w:i/>
                <w:color w:val="000000" w:themeColor="text1"/>
                <w:sz w:val="16"/>
                <w:szCs w:val="16"/>
              </w:rPr>
              <w:t>(Assure no conflict with exi</w:t>
            </w:r>
            <w:r>
              <w:rPr>
                <w:b w:val="0"/>
                <w:i/>
                <w:color w:val="000000" w:themeColor="text1"/>
                <w:sz w:val="16"/>
                <w:szCs w:val="16"/>
              </w:rPr>
              <w:t>s</w:t>
            </w:r>
            <w:r w:rsidRPr="00C24C75">
              <w:rPr>
                <w:b w:val="0"/>
                <w:i/>
                <w:color w:val="000000" w:themeColor="text1"/>
                <w:sz w:val="16"/>
                <w:szCs w:val="16"/>
              </w:rPr>
              <w:t>ting law)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1" w:type="dxa"/>
            <w:gridSpan w:val="4"/>
          </w:tcPr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Constitution </w:t>
            </w:r>
          </w:p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Code</w:t>
            </w:r>
          </w:p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Council Resolution</w:t>
            </w:r>
          </w:p>
          <w:p w:rsidR="001D4E8F" w:rsidRPr="00157BA2" w:rsidRDefault="001D4E8F" w:rsidP="001D4E8F">
            <w:pPr>
              <w:spacing w:before="60" w:after="60"/>
              <w:rPr>
                <w:color w:val="C0504D" w:themeColor="accent2"/>
                <w:sz w:val="18"/>
              </w:rPr>
            </w:pPr>
            <w:r>
              <w:rPr>
                <w:sz w:val="18"/>
              </w:rPr>
              <w:t>Common Law</w:t>
            </w:r>
          </w:p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Court Rule</w:t>
            </w:r>
          </w:p>
          <w:p w:rsidR="001D4E8F" w:rsidRPr="001B4BF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Custom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4" w:type="dxa"/>
            <w:gridSpan w:val="2"/>
          </w:tcPr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</w:tc>
      </w:tr>
      <w:tr w:rsidR="001D4E8F" w:rsidRPr="001B4BFF" w:rsidTr="001C7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0" w:type="dxa"/>
            <w:gridSpan w:val="8"/>
          </w:tcPr>
          <w:p w:rsidR="001D4E8F" w:rsidRPr="00C07115" w:rsidRDefault="001D4E8F" w:rsidP="001D4E8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8"/>
                <w:szCs w:val="28"/>
              </w:rPr>
            </w:pPr>
          </w:p>
        </w:tc>
      </w:tr>
      <w:tr w:rsidR="001D4E8F" w:rsidRPr="00101976" w:rsidTr="001C7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Merge w:val="restart"/>
          </w:tcPr>
          <w:p w:rsidR="001D4E8F" w:rsidRPr="00A77907" w:rsidRDefault="001D4E8F" w:rsidP="001D4E8F">
            <w:pPr>
              <w:rPr>
                <w:color w:val="215868" w:themeColor="accent5" w:themeShade="80"/>
                <w:sz w:val="18"/>
                <w:u w:val="single"/>
              </w:rPr>
            </w:pPr>
            <w:r w:rsidRPr="00A77907">
              <w:rPr>
                <w:color w:val="215868" w:themeColor="accent5" w:themeShade="80"/>
                <w:sz w:val="18"/>
                <w:u w:val="single"/>
              </w:rPr>
              <w:t>SUGGESTED</w:t>
            </w:r>
          </w:p>
          <w:p w:rsidR="001D4E8F" w:rsidRPr="00A77907" w:rsidRDefault="001D4E8F" w:rsidP="001D4E8F">
            <w:pPr>
              <w:rPr>
                <w:color w:val="215868" w:themeColor="accent5" w:themeShade="80"/>
                <w:sz w:val="18"/>
              </w:rPr>
            </w:pP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Practices</w:t>
            </w: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Training</w:t>
            </w: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Coaching</w:t>
            </w: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1D4E8F" w:rsidRPr="001B4BFF" w:rsidRDefault="001D4E8F" w:rsidP="001D4E8F">
            <w:pPr>
              <w:jc w:val="center"/>
              <w:rPr>
                <w:b w:val="0"/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Support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337"/>
            </w:tblGrid>
            <w:tr w:rsidR="001D4E8F" w:rsidTr="001C75D7">
              <w:trPr>
                <w:trHeight w:val="180"/>
              </w:trPr>
              <w:tc>
                <w:tcPr>
                  <w:tcW w:w="0" w:type="auto"/>
                  <w:vAlign w:val="center"/>
                </w:tcPr>
                <w:p w:rsidR="001D4E8F" w:rsidRDefault="006E1D97" w:rsidP="001C75D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Study addiction, pharmacology, relapse, etc.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C07115">
              <w:trPr>
                <w:trHeight w:val="130"/>
              </w:trPr>
              <w:tc>
                <w:tcPr>
                  <w:tcW w:w="0" w:type="auto"/>
                  <w:vAlign w:val="center"/>
                </w:tcPr>
                <w:p w:rsidR="001D4E8F" w:rsidRDefault="006E1D97" w:rsidP="001C75D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Review phase requirements w/ team 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C07115">
              <w:trPr>
                <w:trHeight w:val="130"/>
              </w:trPr>
              <w:tc>
                <w:tcPr>
                  <w:tcW w:w="0" w:type="auto"/>
                  <w:vAlign w:val="center"/>
                </w:tcPr>
                <w:p w:rsidR="001D4E8F" w:rsidRDefault="006E1D97" w:rsidP="00C07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Gauge participants’ ownership of treatment plan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C07115">
              <w:trPr>
                <w:trHeight w:val="130"/>
              </w:trPr>
              <w:tc>
                <w:tcPr>
                  <w:tcW w:w="0" w:type="auto"/>
                  <w:vAlign w:val="center"/>
                </w:tcPr>
                <w:p w:rsidR="001D4E8F" w:rsidRDefault="006E1D97" w:rsidP="006E1D9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Gauge level of family involvement in participant plans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C07115">
              <w:trPr>
                <w:trHeight w:val="130"/>
              </w:trPr>
              <w:tc>
                <w:tcPr>
                  <w:tcW w:w="0" w:type="auto"/>
                  <w:vAlign w:val="center"/>
                </w:tcPr>
                <w:p w:rsidR="001D4E8F" w:rsidRDefault="006E1D97" w:rsidP="00C07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Keep an up-to-date list of available healing resources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C07115" w:rsidTr="0097413E">
              <w:trPr>
                <w:trHeight w:val="252"/>
              </w:trPr>
              <w:tc>
                <w:tcPr>
                  <w:tcW w:w="0" w:type="auto"/>
                  <w:vAlign w:val="center"/>
                </w:tcPr>
                <w:p w:rsidR="00C07115" w:rsidRDefault="006E1D97" w:rsidP="009741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Periodically review </w:t>
                  </w:r>
                  <w:r w:rsidR="0097413E">
                    <w:rPr>
                      <w:sz w:val="18"/>
                    </w:rPr>
                    <w:t xml:space="preserve">key data points re: </w:t>
                  </w:r>
                  <w:r w:rsidR="0097413E">
                    <w:rPr>
                      <w:sz w:val="18"/>
                    </w:rPr>
                    <w:br/>
                  </w:r>
                  <w:r w:rsidR="0097413E" w:rsidRPr="0097413E">
                    <w:rPr>
                      <w:rFonts w:cs="Arial"/>
                      <w:sz w:val="18"/>
                      <w:szCs w:val="18"/>
                    </w:rPr>
                    <w:t xml:space="preserve">□ hrs. </w:t>
                  </w:r>
                  <w:proofErr w:type="spellStart"/>
                  <w:r w:rsidR="0097413E" w:rsidRPr="0097413E">
                    <w:rPr>
                      <w:rFonts w:cs="Arial"/>
                      <w:sz w:val="18"/>
                      <w:szCs w:val="18"/>
                    </w:rPr>
                    <w:t>ind.</w:t>
                  </w:r>
                  <w:proofErr w:type="spellEnd"/>
                  <w:r w:rsidR="0097413E" w:rsidRPr="0097413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7413E" w:rsidRPr="0097413E">
                    <w:rPr>
                      <w:rFonts w:cs="Arial"/>
                      <w:sz w:val="18"/>
                      <w:szCs w:val="18"/>
                    </w:rPr>
                    <w:t>Tx</w:t>
                  </w:r>
                  <w:proofErr w:type="spellEnd"/>
                  <w:r w:rsidR="0097413E" w:rsidRPr="0097413E">
                    <w:rPr>
                      <w:rFonts w:cs="Arial"/>
                      <w:sz w:val="18"/>
                      <w:szCs w:val="18"/>
                    </w:rPr>
                    <w:t>/</w:t>
                  </w:r>
                  <w:proofErr w:type="spellStart"/>
                  <w:r w:rsidR="0097413E" w:rsidRPr="0097413E">
                    <w:rPr>
                      <w:rFonts w:cs="Arial"/>
                      <w:sz w:val="18"/>
                      <w:szCs w:val="18"/>
                    </w:rPr>
                    <w:t>wk</w:t>
                  </w:r>
                  <w:proofErr w:type="spellEnd"/>
                  <w:r w:rsidR="0097413E" w:rsidRPr="0097413E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97413E">
                    <w:rPr>
                      <w:rFonts w:cs="Arial"/>
                      <w:sz w:val="18"/>
                      <w:szCs w:val="18"/>
                    </w:rPr>
                    <w:t xml:space="preserve">       </w:t>
                  </w:r>
                  <w:r w:rsidR="0097413E" w:rsidRPr="0097413E">
                    <w:rPr>
                      <w:rFonts w:cs="Arial"/>
                      <w:sz w:val="18"/>
                      <w:szCs w:val="18"/>
                    </w:rPr>
                    <w:t xml:space="preserve">□ hrs. grp. </w:t>
                  </w:r>
                  <w:proofErr w:type="spellStart"/>
                  <w:r w:rsidR="0097413E" w:rsidRPr="0097413E">
                    <w:rPr>
                      <w:rFonts w:cs="Arial"/>
                      <w:sz w:val="18"/>
                      <w:szCs w:val="18"/>
                    </w:rPr>
                    <w:t>Tx</w:t>
                  </w:r>
                  <w:proofErr w:type="spellEnd"/>
                  <w:r w:rsidR="0097413E" w:rsidRPr="0097413E">
                    <w:rPr>
                      <w:rFonts w:cs="Arial"/>
                      <w:sz w:val="18"/>
                      <w:szCs w:val="18"/>
                    </w:rPr>
                    <w:t>/</w:t>
                  </w:r>
                  <w:proofErr w:type="spellStart"/>
                  <w:r w:rsidR="0097413E" w:rsidRPr="0097413E">
                    <w:rPr>
                      <w:rFonts w:cs="Arial"/>
                      <w:sz w:val="18"/>
                      <w:szCs w:val="18"/>
                    </w:rPr>
                    <w:t>wk</w:t>
                  </w:r>
                  <w:proofErr w:type="spellEnd"/>
                  <w:r w:rsidR="0097413E" w:rsidRPr="0097413E"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0" w:type="auto"/>
                  <w:vAlign w:val="center"/>
                </w:tcPr>
                <w:p w:rsidR="00C07115" w:rsidRPr="00157BA2" w:rsidRDefault="00C07115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</w:tbl>
          <w:p w:rsidR="001D4E8F" w:rsidRPr="001B4BFF" w:rsidRDefault="001D4E8F" w:rsidP="001D4E8F">
            <w:pPr>
              <w:rPr>
                <w:sz w:val="18"/>
              </w:rPr>
            </w:pPr>
          </w:p>
        </w:tc>
        <w:tc>
          <w:tcPr>
            <w:tcW w:w="4384" w:type="dxa"/>
            <w:gridSpan w:val="4"/>
          </w:tcPr>
          <w:p w:rsidR="001D4E8F" w:rsidRPr="001C2E9A" w:rsidRDefault="001D4E8F" w:rsidP="001D4E8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1C2E9A">
              <w:rPr>
                <w:b/>
                <w:sz w:val="18"/>
              </w:rPr>
              <w:t>Related NADCP Core Competency</w:t>
            </w:r>
          </w:p>
          <w:p w:rsidR="001D4E8F" w:rsidRDefault="00A03E4A" w:rsidP="001D4E8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# 8 – Judge “is </w:t>
            </w:r>
            <w:r w:rsidR="004D3858">
              <w:rPr>
                <w:sz w:val="18"/>
              </w:rPr>
              <w:t>aware of the impact that substance abuse has on the court system, the lives of offenders, their families and the community at-large</w:t>
            </w:r>
            <w:r>
              <w:rPr>
                <w:sz w:val="18"/>
              </w:rPr>
              <w:t>.”</w:t>
            </w:r>
          </w:p>
          <w:p w:rsidR="001D4E8F" w:rsidRPr="001C2E9A" w:rsidRDefault="001D4E8F" w:rsidP="001D4E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3" w:type="dxa"/>
            <w:vMerge w:val="restart"/>
          </w:tcPr>
          <w:p w:rsidR="001D4E8F" w:rsidRPr="001B4BFF" w:rsidRDefault="001D4E8F" w:rsidP="001D4E8F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1D4E8F" w:rsidRPr="00101976" w:rsidTr="001C7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Merge/>
          </w:tcPr>
          <w:p w:rsidR="001D4E8F" w:rsidRPr="001B4BFF" w:rsidRDefault="001D4E8F" w:rsidP="001D4E8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dxa"/>
            <w:gridSpan w:val="2"/>
            <w:vMerge/>
          </w:tcPr>
          <w:p w:rsidR="001D4E8F" w:rsidRPr="001B4BFF" w:rsidRDefault="001D4E8F" w:rsidP="001D4E8F">
            <w:pPr>
              <w:spacing w:before="60" w:after="60"/>
              <w:rPr>
                <w:sz w:val="18"/>
              </w:rPr>
            </w:pPr>
          </w:p>
        </w:tc>
        <w:tc>
          <w:tcPr>
            <w:tcW w:w="4384" w:type="dxa"/>
            <w:gridSpan w:val="4"/>
            <w:vAlign w:val="center"/>
          </w:tcPr>
          <w:p w:rsidR="001D4E8F" w:rsidRPr="001B4BFF" w:rsidRDefault="001D4E8F" w:rsidP="001D4E8F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See Process &amp; Procedure Bench Card 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1D4E8F" w:rsidRPr="001B4BFF" w:rsidRDefault="001D4E8F" w:rsidP="001D4E8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1D4E8F" w:rsidRPr="00101976" w:rsidTr="001C7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1D4E8F" w:rsidRPr="00A77907" w:rsidRDefault="001D4E8F" w:rsidP="001D4E8F">
            <w:pPr>
              <w:spacing w:before="60" w:after="60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Resources/</w:t>
            </w:r>
          </w:p>
          <w:p w:rsidR="001D4E8F" w:rsidRPr="00555B1E" w:rsidRDefault="001D4E8F" w:rsidP="001D4E8F">
            <w:pPr>
              <w:spacing w:before="60" w:after="60"/>
              <w:rPr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 xml:space="preserve">Technology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11" w:type="dxa"/>
            <w:gridSpan w:val="6"/>
          </w:tcPr>
          <w:p w:rsidR="001D4E8F" w:rsidRPr="00A40F47" w:rsidRDefault="0099313C" w:rsidP="001D4E8F">
            <w:pPr>
              <w:spacing w:before="60" w:after="60"/>
              <w:rPr>
                <w:sz w:val="18"/>
                <w:szCs w:val="18"/>
              </w:rPr>
            </w:pPr>
            <w:hyperlink r:id="rId10" w:history="1">
              <w:r w:rsidR="001D4E8F" w:rsidRPr="00A40F47">
                <w:rPr>
                  <w:rStyle w:val="Hyperlink"/>
                  <w:sz w:val="18"/>
                  <w:szCs w:val="18"/>
                </w:rPr>
                <w:t>www.WellnessCourts.org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1" w:history="1">
              <w:r w:rsidR="001D4E8F" w:rsidRPr="00A40F47">
                <w:rPr>
                  <w:rStyle w:val="Hyperlink"/>
                  <w:sz w:val="18"/>
                  <w:szCs w:val="18"/>
                </w:rPr>
                <w:t>www.home.tlpi.org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2" w:history="1">
              <w:r w:rsidR="001D4E8F" w:rsidRPr="00A40F47">
                <w:rPr>
                  <w:rStyle w:val="Hyperlink"/>
                  <w:sz w:val="18"/>
                  <w:szCs w:val="18"/>
                </w:rPr>
                <w:t>www.ndci.org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3" w:history="1">
              <w:r w:rsidR="001D4E8F" w:rsidRPr="00A40F47">
                <w:rPr>
                  <w:rStyle w:val="Hyperlink"/>
                  <w:sz w:val="18"/>
                  <w:szCs w:val="18"/>
                </w:rPr>
                <w:t>www.american.edu/spa/jpo/initiatives/drug-court/</w:t>
              </w:r>
            </w:hyperlink>
            <w:r w:rsidR="001D4E8F" w:rsidRPr="00A40F47">
              <w:rPr>
                <w:sz w:val="18"/>
                <w:szCs w:val="18"/>
              </w:rPr>
              <w:t xml:space="preserve"> , </w:t>
            </w:r>
            <w:hyperlink r:id="rId14" w:history="1">
              <w:r w:rsidR="001D4E8F" w:rsidRPr="00A40F47">
                <w:rPr>
                  <w:rStyle w:val="Hyperlink"/>
                  <w:sz w:val="18"/>
                  <w:szCs w:val="18"/>
                </w:rPr>
                <w:t>www.ndcdr.org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5" w:history="1">
              <w:r w:rsidR="001D4E8F" w:rsidRPr="00A40F47">
                <w:rPr>
                  <w:rStyle w:val="Hyperlink"/>
                  <w:sz w:val="18"/>
                  <w:szCs w:val="18"/>
                </w:rPr>
                <w:t>www.drugcourtonline.org</w:t>
              </w:r>
            </w:hyperlink>
            <w:r w:rsidR="001D4E8F" w:rsidRPr="00A40F47">
              <w:rPr>
                <w:sz w:val="18"/>
                <w:szCs w:val="18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3" w:type="dxa"/>
          </w:tcPr>
          <w:p w:rsidR="001D4E8F" w:rsidRPr="00A40F47" w:rsidRDefault="001D4E8F" w:rsidP="001D4E8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1D4E8F" w:rsidRPr="00101976" w:rsidTr="001C75D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0" w:type="dxa"/>
            <w:gridSpan w:val="8"/>
          </w:tcPr>
          <w:p w:rsidR="001D4E8F" w:rsidRPr="00B42764" w:rsidRDefault="00C07115" w:rsidP="00C07115">
            <w:pPr>
              <w:jc w:val="right"/>
              <w:rPr>
                <w:b w:val="0"/>
                <w:bCs w:val="0"/>
                <w:sz w:val="16"/>
                <w:szCs w:val="16"/>
              </w:rPr>
            </w:pPr>
            <w:r w:rsidRPr="00454B78">
              <w:rPr>
                <w:sz w:val="16"/>
                <w:szCs w:val="16"/>
              </w:rPr>
              <w:t>“</w:t>
            </w:r>
            <w:r w:rsidRPr="00454B78">
              <w:rPr>
                <w:i/>
                <w:sz w:val="16"/>
                <w:szCs w:val="16"/>
              </w:rPr>
              <w:t xml:space="preserve">95 percent of the crime is drug or alcohol related. Crime is the result of an addiction that is a result of trauma and you have to find out the trauma.  Maybe there’s historical trauma, individual or a family trauma that the person has to deal with. We </w:t>
            </w:r>
            <w:r w:rsidRPr="001C75D7">
              <w:rPr>
                <w:i/>
                <w:sz w:val="16"/>
                <w:szCs w:val="16"/>
              </w:rPr>
              <w:t xml:space="preserve">in the justice system have to work in tandem with those who are trying to make the community well before we’re going to see any progress. A (Wellness Court) is perfectly, ideally suited for tribes.”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>Hon. B. J. Jones</w:t>
            </w:r>
          </w:p>
        </w:tc>
      </w:tr>
    </w:tbl>
    <w:p w:rsidR="001F0083" w:rsidRPr="00A40F47" w:rsidRDefault="001F0083" w:rsidP="00A40F47">
      <w:pPr>
        <w:tabs>
          <w:tab w:val="left" w:pos="6255"/>
        </w:tabs>
      </w:pPr>
    </w:p>
    <w:sectPr w:rsidR="001F0083" w:rsidRPr="00A40F47" w:rsidSect="00A40F47">
      <w:footerReference w:type="default" r:id="rId16"/>
      <w:endnotePr>
        <w:numFmt w:val="decimal"/>
      </w:endnotePr>
      <w:pgSz w:w="12240" w:h="15840" w:code="1"/>
      <w:pgMar w:top="432" w:right="720" w:bottom="576" w:left="720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3C" w:rsidRDefault="0099313C">
      <w:pPr>
        <w:spacing w:line="20" w:lineRule="exact"/>
      </w:pPr>
    </w:p>
  </w:endnote>
  <w:endnote w:type="continuationSeparator" w:id="0">
    <w:p w:rsidR="0099313C" w:rsidRDefault="0099313C">
      <w:r>
        <w:t xml:space="preserve"> </w:t>
      </w:r>
    </w:p>
  </w:endnote>
  <w:endnote w:type="continuationNotice" w:id="1">
    <w:p w:rsidR="0099313C" w:rsidRDefault="0099313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3C" w:rsidRDefault="0099313C">
      <w:r>
        <w:separator/>
      </w:r>
    </w:p>
  </w:footnote>
  <w:footnote w:type="continuationSeparator" w:id="0">
    <w:p w:rsidR="0099313C" w:rsidRDefault="0099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50936"/>
    <w:rsid w:val="00057823"/>
    <w:rsid w:val="00061FA8"/>
    <w:rsid w:val="00066A49"/>
    <w:rsid w:val="0007743B"/>
    <w:rsid w:val="00086699"/>
    <w:rsid w:val="00087EF0"/>
    <w:rsid w:val="00091A7D"/>
    <w:rsid w:val="000A55ED"/>
    <w:rsid w:val="000C23E3"/>
    <w:rsid w:val="000C7B8D"/>
    <w:rsid w:val="000C7CE4"/>
    <w:rsid w:val="000E10A6"/>
    <w:rsid w:val="000E2BDD"/>
    <w:rsid w:val="000F01DA"/>
    <w:rsid w:val="00101976"/>
    <w:rsid w:val="00105873"/>
    <w:rsid w:val="00157BA2"/>
    <w:rsid w:val="001603E0"/>
    <w:rsid w:val="00160D02"/>
    <w:rsid w:val="00170982"/>
    <w:rsid w:val="00171494"/>
    <w:rsid w:val="00177B06"/>
    <w:rsid w:val="00194596"/>
    <w:rsid w:val="001B4BFF"/>
    <w:rsid w:val="001C08F5"/>
    <w:rsid w:val="001C2E9A"/>
    <w:rsid w:val="001C75D7"/>
    <w:rsid w:val="001D4E8F"/>
    <w:rsid w:val="001F0083"/>
    <w:rsid w:val="002001D7"/>
    <w:rsid w:val="00214811"/>
    <w:rsid w:val="0021500A"/>
    <w:rsid w:val="00227DA1"/>
    <w:rsid w:val="00231183"/>
    <w:rsid w:val="00231CC1"/>
    <w:rsid w:val="00233773"/>
    <w:rsid w:val="002420C0"/>
    <w:rsid w:val="00242B4D"/>
    <w:rsid w:val="0025561E"/>
    <w:rsid w:val="00261371"/>
    <w:rsid w:val="00264F09"/>
    <w:rsid w:val="0027228C"/>
    <w:rsid w:val="002801DB"/>
    <w:rsid w:val="00284167"/>
    <w:rsid w:val="00291C2C"/>
    <w:rsid w:val="002A7D7F"/>
    <w:rsid w:val="002C38EC"/>
    <w:rsid w:val="002D0842"/>
    <w:rsid w:val="002D3E60"/>
    <w:rsid w:val="002F1645"/>
    <w:rsid w:val="002F2DDE"/>
    <w:rsid w:val="0032411C"/>
    <w:rsid w:val="0037031E"/>
    <w:rsid w:val="00371907"/>
    <w:rsid w:val="003855CF"/>
    <w:rsid w:val="003944FC"/>
    <w:rsid w:val="003B0B15"/>
    <w:rsid w:val="003B3A75"/>
    <w:rsid w:val="003C5795"/>
    <w:rsid w:val="003D7BE3"/>
    <w:rsid w:val="003F0DD1"/>
    <w:rsid w:val="003F2F29"/>
    <w:rsid w:val="00401E94"/>
    <w:rsid w:val="00405287"/>
    <w:rsid w:val="0042410B"/>
    <w:rsid w:val="00425E65"/>
    <w:rsid w:val="00426CFE"/>
    <w:rsid w:val="004446E1"/>
    <w:rsid w:val="00486FCF"/>
    <w:rsid w:val="004B05CD"/>
    <w:rsid w:val="004D3858"/>
    <w:rsid w:val="004E14F3"/>
    <w:rsid w:val="004F04DC"/>
    <w:rsid w:val="004F7938"/>
    <w:rsid w:val="005243D9"/>
    <w:rsid w:val="0053784F"/>
    <w:rsid w:val="00547AFC"/>
    <w:rsid w:val="00552199"/>
    <w:rsid w:val="00555B1E"/>
    <w:rsid w:val="00562861"/>
    <w:rsid w:val="00566D24"/>
    <w:rsid w:val="00571E71"/>
    <w:rsid w:val="00572C38"/>
    <w:rsid w:val="005751FE"/>
    <w:rsid w:val="00575DB7"/>
    <w:rsid w:val="0058311A"/>
    <w:rsid w:val="005926BB"/>
    <w:rsid w:val="005A2106"/>
    <w:rsid w:val="005A2DC8"/>
    <w:rsid w:val="005A5AC4"/>
    <w:rsid w:val="005A6D9A"/>
    <w:rsid w:val="005C3FEA"/>
    <w:rsid w:val="005E38EA"/>
    <w:rsid w:val="005E57D2"/>
    <w:rsid w:val="005E7C6C"/>
    <w:rsid w:val="00605726"/>
    <w:rsid w:val="00631E44"/>
    <w:rsid w:val="0063653F"/>
    <w:rsid w:val="0066237E"/>
    <w:rsid w:val="00662887"/>
    <w:rsid w:val="0067005F"/>
    <w:rsid w:val="00673517"/>
    <w:rsid w:val="00673BE2"/>
    <w:rsid w:val="006829BD"/>
    <w:rsid w:val="0069548D"/>
    <w:rsid w:val="00695B71"/>
    <w:rsid w:val="006B4CB6"/>
    <w:rsid w:val="006C11FD"/>
    <w:rsid w:val="006C2B44"/>
    <w:rsid w:val="006C3347"/>
    <w:rsid w:val="006C450D"/>
    <w:rsid w:val="006C46EA"/>
    <w:rsid w:val="006C5D02"/>
    <w:rsid w:val="006C7E48"/>
    <w:rsid w:val="006D1976"/>
    <w:rsid w:val="006E1D97"/>
    <w:rsid w:val="006E28D5"/>
    <w:rsid w:val="006E418F"/>
    <w:rsid w:val="006E63E0"/>
    <w:rsid w:val="006F1C63"/>
    <w:rsid w:val="00704098"/>
    <w:rsid w:val="007109D5"/>
    <w:rsid w:val="00711DDF"/>
    <w:rsid w:val="0073127A"/>
    <w:rsid w:val="00737E0F"/>
    <w:rsid w:val="007463BF"/>
    <w:rsid w:val="00747948"/>
    <w:rsid w:val="00752362"/>
    <w:rsid w:val="007528D8"/>
    <w:rsid w:val="00755601"/>
    <w:rsid w:val="007577FD"/>
    <w:rsid w:val="00760830"/>
    <w:rsid w:val="00764501"/>
    <w:rsid w:val="00764D0F"/>
    <w:rsid w:val="00766806"/>
    <w:rsid w:val="00766A7F"/>
    <w:rsid w:val="00790EC5"/>
    <w:rsid w:val="007A07EE"/>
    <w:rsid w:val="007B3757"/>
    <w:rsid w:val="007B6342"/>
    <w:rsid w:val="007C1713"/>
    <w:rsid w:val="007C5EDF"/>
    <w:rsid w:val="007C7DEB"/>
    <w:rsid w:val="007D3CA0"/>
    <w:rsid w:val="007D56A0"/>
    <w:rsid w:val="007E7B08"/>
    <w:rsid w:val="007F4124"/>
    <w:rsid w:val="007F5C7E"/>
    <w:rsid w:val="007F7287"/>
    <w:rsid w:val="008003FC"/>
    <w:rsid w:val="00804042"/>
    <w:rsid w:val="008055A3"/>
    <w:rsid w:val="00810025"/>
    <w:rsid w:val="00816C43"/>
    <w:rsid w:val="00821EE8"/>
    <w:rsid w:val="0082240F"/>
    <w:rsid w:val="008227AF"/>
    <w:rsid w:val="00845392"/>
    <w:rsid w:val="008621AC"/>
    <w:rsid w:val="00870655"/>
    <w:rsid w:val="008742B5"/>
    <w:rsid w:val="00880140"/>
    <w:rsid w:val="00880194"/>
    <w:rsid w:val="008802FD"/>
    <w:rsid w:val="00896BB1"/>
    <w:rsid w:val="008A17DD"/>
    <w:rsid w:val="008B197D"/>
    <w:rsid w:val="008B4AEE"/>
    <w:rsid w:val="008C2A67"/>
    <w:rsid w:val="008C344F"/>
    <w:rsid w:val="008C450A"/>
    <w:rsid w:val="008E04B7"/>
    <w:rsid w:val="008F33F0"/>
    <w:rsid w:val="0090251E"/>
    <w:rsid w:val="00925751"/>
    <w:rsid w:val="00926506"/>
    <w:rsid w:val="00931509"/>
    <w:rsid w:val="00942487"/>
    <w:rsid w:val="009434C3"/>
    <w:rsid w:val="00954B43"/>
    <w:rsid w:val="00961F99"/>
    <w:rsid w:val="009725E2"/>
    <w:rsid w:val="0097413E"/>
    <w:rsid w:val="0099313C"/>
    <w:rsid w:val="009B71C9"/>
    <w:rsid w:val="009B78D9"/>
    <w:rsid w:val="009D294F"/>
    <w:rsid w:val="009D7532"/>
    <w:rsid w:val="009F6677"/>
    <w:rsid w:val="00A000E5"/>
    <w:rsid w:val="00A03E4A"/>
    <w:rsid w:val="00A311B5"/>
    <w:rsid w:val="00A350C1"/>
    <w:rsid w:val="00A40F47"/>
    <w:rsid w:val="00A45214"/>
    <w:rsid w:val="00A73F2F"/>
    <w:rsid w:val="00A74E15"/>
    <w:rsid w:val="00A77907"/>
    <w:rsid w:val="00A8266C"/>
    <w:rsid w:val="00A90831"/>
    <w:rsid w:val="00A9726B"/>
    <w:rsid w:val="00AA2E20"/>
    <w:rsid w:val="00AA5B39"/>
    <w:rsid w:val="00AD70EB"/>
    <w:rsid w:val="00AE0581"/>
    <w:rsid w:val="00AE2AEF"/>
    <w:rsid w:val="00AE5F77"/>
    <w:rsid w:val="00B25B9A"/>
    <w:rsid w:val="00B26E15"/>
    <w:rsid w:val="00B40471"/>
    <w:rsid w:val="00B41C89"/>
    <w:rsid w:val="00B42764"/>
    <w:rsid w:val="00B42BFB"/>
    <w:rsid w:val="00B47A5A"/>
    <w:rsid w:val="00B729FF"/>
    <w:rsid w:val="00B75D85"/>
    <w:rsid w:val="00B8575F"/>
    <w:rsid w:val="00BC016E"/>
    <w:rsid w:val="00C02B75"/>
    <w:rsid w:val="00C064A9"/>
    <w:rsid w:val="00C07115"/>
    <w:rsid w:val="00C11A7D"/>
    <w:rsid w:val="00C15937"/>
    <w:rsid w:val="00C201B7"/>
    <w:rsid w:val="00C24827"/>
    <w:rsid w:val="00C24C75"/>
    <w:rsid w:val="00C26702"/>
    <w:rsid w:val="00C4555A"/>
    <w:rsid w:val="00C47C4B"/>
    <w:rsid w:val="00C67301"/>
    <w:rsid w:val="00C906C9"/>
    <w:rsid w:val="00C96D38"/>
    <w:rsid w:val="00CB2D24"/>
    <w:rsid w:val="00CD59A2"/>
    <w:rsid w:val="00CD6139"/>
    <w:rsid w:val="00CE1F33"/>
    <w:rsid w:val="00CF7CF8"/>
    <w:rsid w:val="00D11668"/>
    <w:rsid w:val="00D1326B"/>
    <w:rsid w:val="00D17B1B"/>
    <w:rsid w:val="00D274C5"/>
    <w:rsid w:val="00D47D02"/>
    <w:rsid w:val="00D52FBD"/>
    <w:rsid w:val="00D61833"/>
    <w:rsid w:val="00D738E1"/>
    <w:rsid w:val="00DE71E4"/>
    <w:rsid w:val="00DF049A"/>
    <w:rsid w:val="00DF4DFD"/>
    <w:rsid w:val="00E007DF"/>
    <w:rsid w:val="00E16CDD"/>
    <w:rsid w:val="00E26413"/>
    <w:rsid w:val="00E3389F"/>
    <w:rsid w:val="00E34EE7"/>
    <w:rsid w:val="00E37F27"/>
    <w:rsid w:val="00E44B9E"/>
    <w:rsid w:val="00E45613"/>
    <w:rsid w:val="00E53CAB"/>
    <w:rsid w:val="00E55A2C"/>
    <w:rsid w:val="00E61914"/>
    <w:rsid w:val="00E83DDC"/>
    <w:rsid w:val="00E904D6"/>
    <w:rsid w:val="00E94BFA"/>
    <w:rsid w:val="00EA0BC3"/>
    <w:rsid w:val="00EC6DB2"/>
    <w:rsid w:val="00ED2F19"/>
    <w:rsid w:val="00ED3151"/>
    <w:rsid w:val="00EE1A4B"/>
    <w:rsid w:val="00EE2FFB"/>
    <w:rsid w:val="00EF0F2A"/>
    <w:rsid w:val="00EF54BA"/>
    <w:rsid w:val="00F00309"/>
    <w:rsid w:val="00F16464"/>
    <w:rsid w:val="00F218E7"/>
    <w:rsid w:val="00F33B56"/>
    <w:rsid w:val="00F349A1"/>
    <w:rsid w:val="00F43D8F"/>
    <w:rsid w:val="00F47042"/>
    <w:rsid w:val="00F66E9C"/>
    <w:rsid w:val="00F93593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4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8C344F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8C344F"/>
    <w:pPr>
      <w:suppressAutoHyphens/>
      <w:ind w:left="2880" w:hanging="720"/>
    </w:pPr>
  </w:style>
  <w:style w:type="table" w:styleId="TableGrid">
    <w:name w:val="Table Grid"/>
    <w:basedOn w:val="TableNormal"/>
    <w:rsid w:val="008C344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34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44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C344F"/>
    <w:rPr>
      <w:rFonts w:ascii="Times Roman" w:hAnsi="Times Roman"/>
    </w:rPr>
  </w:style>
  <w:style w:type="paragraph" w:customStyle="1" w:styleId="TemplateBody">
    <w:name w:val="Template Body"/>
    <w:basedOn w:val="Normal"/>
    <w:rsid w:val="008C344F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8C344F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8C344F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8C344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8C344F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8C344F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C267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4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8C344F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8C344F"/>
    <w:pPr>
      <w:suppressAutoHyphens/>
      <w:ind w:left="2880" w:hanging="720"/>
    </w:pPr>
  </w:style>
  <w:style w:type="table" w:styleId="TableGrid">
    <w:name w:val="Table Grid"/>
    <w:basedOn w:val="TableNormal"/>
    <w:rsid w:val="008C344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34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44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C344F"/>
    <w:rPr>
      <w:rFonts w:ascii="Times Roman" w:hAnsi="Times Roman"/>
    </w:rPr>
  </w:style>
  <w:style w:type="paragraph" w:customStyle="1" w:styleId="TemplateBody">
    <w:name w:val="Template Body"/>
    <w:basedOn w:val="Normal"/>
    <w:rsid w:val="008C344F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8C344F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8C344F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8C344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8C344F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8C344F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C267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merican.edu/spa/jpo/initiatives/drug-court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ndc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me.tlpi.org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drugcourtonline.org" TargetMode="External"/><Relationship Id="rId10" Type="http://schemas.openxmlformats.org/officeDocument/2006/relationships/hyperlink" Target="http://www.WellnessCourts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d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9DD8A-E3C5-45B2-A158-35D4CE19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5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 van Schilfgaarde</cp:lastModifiedBy>
  <cp:revision>7</cp:revision>
  <cp:lastPrinted>2016-03-26T00:33:00Z</cp:lastPrinted>
  <dcterms:created xsi:type="dcterms:W3CDTF">2016-03-27T20:19:00Z</dcterms:created>
  <dcterms:modified xsi:type="dcterms:W3CDTF">2016-04-21T22:33:00Z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