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10" w:type="dxa"/>
        <w:jc w:val="center"/>
        <w:tblInd w:w="683" w:type="dxa"/>
        <w:tblLook w:val="01E0" w:firstRow="1" w:lastRow="1" w:firstColumn="1" w:lastColumn="1" w:noHBand="0" w:noVBand="0"/>
      </w:tblPr>
      <w:tblGrid>
        <w:gridCol w:w="1347"/>
        <w:gridCol w:w="289"/>
        <w:gridCol w:w="4221"/>
        <w:gridCol w:w="1619"/>
        <w:gridCol w:w="1731"/>
        <w:gridCol w:w="548"/>
        <w:gridCol w:w="492"/>
        <w:gridCol w:w="563"/>
      </w:tblGrid>
      <w:tr w:rsidR="001F0083" w:rsidRPr="00101976" w:rsidTr="00592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16CDD" w:rsidRPr="00C26702" w:rsidRDefault="00C90159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F398A0" wp14:editId="1B32E318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83185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C8457A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1.7pt;margin-top:6.55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" fillcolor="white [3201]" strokeweight=".5pt">
                      <v:textbox>
                        <w:txbxContent>
                          <w:p w:rsidR="005243D9" w:rsidRPr="005243D9" w:rsidRDefault="00C8457A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2644E5" wp14:editId="242DCB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1339215" cy="429260"/>
                      <wp:effectExtent l="0" t="0" r="1333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921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The Judge as</w:t>
                                  </w:r>
                                  <w:r w:rsidR="00662887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C8457A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br/>
                                    <w:t>Encourager &amp; Enforcer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type w14:anchorId="340C7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1pt;margin-top:1.3pt;width:105.4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The Judge as</w:t>
                            </w:r>
                            <w:r w:rsidR="00662887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8457A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br/>
                              <w:t>Encourager &amp; Enforcer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C9015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5" w:type="dxa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5"/>
            <w:vAlign w:val="center"/>
          </w:tcPr>
          <w:p w:rsidR="00E83DDC" w:rsidRPr="00A77907" w:rsidRDefault="00C8457A" w:rsidP="00662887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FD7061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ribal Healing to Wellness Court part</w:t>
            </w:r>
            <w:r w:rsidRPr="00FD7061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icipants are monitored through intensive supervision that includes frequent and random testing for alcohol and drug use, 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while participants and</w:t>
            </w:r>
            <w:r w:rsidRPr="00FD7061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their families benefit from effective team-based case management</w:t>
            </w:r>
            <w:r w:rsidRPr="00FD7061">
              <w:rPr>
                <w:rFonts w:ascii="Arial" w:hAnsi="Arial" w:cs="Arial"/>
                <w:caps w:val="0"/>
                <w:noProof/>
                <w:color w:val="31849B" w:themeColor="accent5" w:themeShade="BF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CF3027" wp14:editId="1B770AA2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57A" w:rsidRDefault="00C8457A" w:rsidP="00C845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1063E4A2" id="_x0000_s1028" type="#_x0000_t202" style="position:absolute;margin-left:613.3pt;margin-top:-1.5pt;width:59.25pt;height:5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C8457A" w:rsidRDefault="00C8457A" w:rsidP="00C8457A"/>
                        </w:txbxContent>
                      </v:textbox>
                    </v:shape>
                  </w:pict>
                </mc:Fallback>
              </mc:AlternateContent>
            </w:r>
            <w:r w:rsidRPr="00FD7061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.</w:t>
            </w:r>
          </w:p>
        </w:tc>
      </w:tr>
      <w:tr w:rsidR="007A07EE" w:rsidRPr="00101976" w:rsidTr="00592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2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832"/>
              <w:gridCol w:w="5418"/>
            </w:tblGrid>
            <w:tr w:rsidR="00C8457A" w:rsidTr="00C8457A">
              <w:trPr>
                <w:trHeight w:val="288"/>
              </w:trPr>
              <w:tc>
                <w:tcPr>
                  <w:tcW w:w="0" w:type="auto"/>
                  <w:vMerge w:val="restart"/>
                  <w:vAlign w:val="center"/>
                </w:tcPr>
                <w:p w:rsidR="00C8457A" w:rsidRPr="00A77907" w:rsidRDefault="00C8457A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Case Management</w:t>
                  </w:r>
                  <w:r>
                    <w:rPr>
                      <w:b/>
                      <w:color w:val="215868" w:themeColor="accent5" w:themeShade="80"/>
                      <w:sz w:val="18"/>
                    </w:rPr>
                    <w:br/>
                  </w:r>
                  <w:r w:rsidRPr="00C8457A">
                    <w:rPr>
                      <w:b/>
                      <w:color w:val="215868" w:themeColor="accent5" w:themeShade="80"/>
                      <w:sz w:val="16"/>
                    </w:rPr>
                    <w:t>Co-Case Management</w:t>
                  </w:r>
                </w:p>
              </w:tc>
              <w:tc>
                <w:tcPr>
                  <w:tcW w:w="0" w:type="auto"/>
                  <w:vAlign w:val="center"/>
                </w:tcPr>
                <w:p w:rsidR="00C8457A" w:rsidRDefault="00C8457A" w:rsidP="00592083">
                  <w:r>
                    <w:rPr>
                      <w:color w:val="000000" w:themeColor="text1"/>
                      <w:sz w:val="18"/>
                      <w:szCs w:val="18"/>
                    </w:rPr>
                    <w:t>Is Court’s monitoring method clear to team; consistent</w:t>
                  </w:r>
                  <w:r w:rsidR="00592083">
                    <w:rPr>
                      <w:color w:val="000000" w:themeColor="text1"/>
                      <w:sz w:val="18"/>
                      <w:szCs w:val="18"/>
                    </w:rPr>
                    <w:t>?</w:t>
                  </w:r>
                </w:p>
              </w:tc>
            </w:tr>
            <w:tr w:rsidR="00C8457A" w:rsidTr="00C8457A">
              <w:trPr>
                <w:trHeight w:val="432"/>
              </w:trPr>
              <w:tc>
                <w:tcPr>
                  <w:tcW w:w="0" w:type="auto"/>
                  <w:vMerge/>
                  <w:vAlign w:val="center"/>
                </w:tcPr>
                <w:p w:rsidR="00C8457A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457A" w:rsidRDefault="00C8457A" w:rsidP="00C8457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 team members know their case management role and responsibility?</w:t>
                  </w:r>
                </w:p>
              </w:tc>
            </w:tr>
            <w:tr w:rsidR="00C8457A" w:rsidTr="00C8457A">
              <w:trPr>
                <w:trHeight w:val="288"/>
              </w:trPr>
              <w:tc>
                <w:tcPr>
                  <w:tcW w:w="0" w:type="auto"/>
                  <w:vMerge/>
                  <w:vAlign w:val="center"/>
                </w:tcPr>
                <w:p w:rsidR="00C8457A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457A" w:rsidRDefault="00C8457A" w:rsidP="00C8457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Is the method evidence-based to support recovery and healing?</w:t>
                  </w:r>
                </w:p>
              </w:tc>
            </w:tr>
            <w:tr w:rsidR="00C8457A" w:rsidTr="00C8457A">
              <w:trPr>
                <w:trHeight w:val="432"/>
              </w:trPr>
              <w:tc>
                <w:tcPr>
                  <w:tcW w:w="0" w:type="auto"/>
                  <w:vMerge w:val="restart"/>
                  <w:vAlign w:val="center"/>
                </w:tcPr>
                <w:p w:rsidR="00662887" w:rsidRPr="00A77907" w:rsidRDefault="00C8457A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Intensive Supervision</w:t>
                  </w:r>
                </w:p>
              </w:tc>
              <w:tc>
                <w:tcPr>
                  <w:tcW w:w="0" w:type="auto"/>
                  <w:vAlign w:val="center"/>
                </w:tcPr>
                <w:p w:rsidR="00662887" w:rsidRPr="00C8457A" w:rsidRDefault="00C8457A" w:rsidP="00C8457A">
                  <w:pPr>
                    <w:rPr>
                      <w:sz w:val="16"/>
                      <w:szCs w:val="16"/>
                    </w:rPr>
                  </w:pPr>
                  <w:r w:rsidRPr="00C8457A">
                    <w:rPr>
                      <w:sz w:val="18"/>
                      <w:szCs w:val="16"/>
                    </w:rPr>
                    <w:t xml:space="preserve">Are participants </w:t>
                  </w:r>
                  <w:r>
                    <w:rPr>
                      <w:sz w:val="18"/>
                      <w:szCs w:val="16"/>
                    </w:rPr>
                    <w:t>busy with wellness activities and held accountable often?</w:t>
                  </w:r>
                </w:p>
              </w:tc>
            </w:tr>
            <w:tr w:rsidR="00C8457A" w:rsidTr="00C8457A">
              <w:trPr>
                <w:trHeight w:val="432"/>
              </w:trPr>
              <w:tc>
                <w:tcPr>
                  <w:tcW w:w="0" w:type="auto"/>
                  <w:vMerge/>
                  <w:vAlign w:val="center"/>
                </w:tcPr>
                <w:p w:rsidR="00C8457A" w:rsidRPr="006B4CB6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457A" w:rsidRPr="00C8457A" w:rsidRDefault="00C8457A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supervision occur when community activity peaks? (Evening and weekends?)</w:t>
                  </w:r>
                </w:p>
              </w:tc>
            </w:tr>
            <w:tr w:rsidR="00C8457A" w:rsidTr="00C8457A">
              <w:trPr>
                <w:trHeight w:val="288"/>
              </w:trPr>
              <w:tc>
                <w:tcPr>
                  <w:tcW w:w="0" w:type="auto"/>
                  <w:vMerge w:val="restart"/>
                  <w:vAlign w:val="center"/>
                </w:tcPr>
                <w:p w:rsidR="00C8457A" w:rsidRPr="00F16464" w:rsidRDefault="00C8457A" w:rsidP="00C8457A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Drug Testing</w:t>
                  </w:r>
                </w:p>
              </w:tc>
              <w:tc>
                <w:tcPr>
                  <w:tcW w:w="0" w:type="auto"/>
                  <w:vAlign w:val="center"/>
                </w:tcPr>
                <w:p w:rsidR="00C8457A" w:rsidRPr="00C8457A" w:rsidRDefault="00C8457A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 team members have working knowledge of testing procedure?</w:t>
                  </w:r>
                </w:p>
              </w:tc>
            </w:tr>
            <w:tr w:rsidR="00C8457A" w:rsidTr="00C8457A">
              <w:trPr>
                <w:trHeight w:val="432"/>
              </w:trPr>
              <w:tc>
                <w:tcPr>
                  <w:tcW w:w="0" w:type="auto"/>
                  <w:vMerge/>
                  <w:vAlign w:val="center"/>
                </w:tcPr>
                <w:p w:rsidR="00C8457A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457A" w:rsidRDefault="00C8457A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 team members have working knowledge of how challenges are tested and confirmed?</w:t>
                  </w:r>
                </w:p>
              </w:tc>
            </w:tr>
            <w:tr w:rsidR="00C8457A" w:rsidTr="00C8457A">
              <w:trPr>
                <w:trHeight w:val="288"/>
              </w:trPr>
              <w:tc>
                <w:tcPr>
                  <w:tcW w:w="0" w:type="auto"/>
                  <w:vMerge/>
                  <w:vAlign w:val="center"/>
                </w:tcPr>
                <w:p w:rsidR="00C8457A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457A" w:rsidRDefault="00C8457A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Does testing data help tell informative and consequential stories?</w:t>
                  </w:r>
                </w:p>
              </w:tc>
            </w:tr>
            <w:tr w:rsidR="00C8457A" w:rsidTr="00C8457A">
              <w:trPr>
                <w:trHeight w:val="432"/>
              </w:trPr>
              <w:tc>
                <w:tcPr>
                  <w:tcW w:w="0" w:type="auto"/>
                  <w:vAlign w:val="center"/>
                </w:tcPr>
                <w:p w:rsidR="00C8457A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 xml:space="preserve">Frequent &amp; Random </w:t>
                  </w:r>
                </w:p>
              </w:tc>
              <w:tc>
                <w:tcPr>
                  <w:tcW w:w="0" w:type="auto"/>
                  <w:vAlign w:val="center"/>
                </w:tcPr>
                <w:p w:rsidR="00C8457A" w:rsidRPr="00C8457A" w:rsidRDefault="00C8457A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 participants expect to be tested at any time and at any place?</w:t>
                  </w:r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8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EE2FFB" w:rsidRPr="001B4BFF" w:rsidTr="0059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592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EE2FFB" w:rsidRPr="00A77907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  <w:p w:rsidR="00C67301" w:rsidRPr="00755601" w:rsidRDefault="00C67301" w:rsidP="00A40F47">
            <w:pPr>
              <w:spacing w:before="60" w:after="60"/>
              <w:jc w:val="center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9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</w:t>
            </w:r>
            <w:r w:rsidR="0058311A">
              <w:rPr>
                <w:sz w:val="18"/>
              </w:rPr>
              <w:t xml:space="preserve"> –</w:t>
            </w:r>
            <w:r w:rsidR="00A40F47">
              <w:rPr>
                <w:sz w:val="18"/>
              </w:rPr>
              <w:t xml:space="preserve"> </w:t>
            </w:r>
            <w:r w:rsidR="00C8457A">
              <w:rPr>
                <w:sz w:val="18"/>
              </w:rPr>
              <w:t>Demonstrate a caring case management style to the community</w:t>
            </w:r>
          </w:p>
          <w:p w:rsidR="00EE2FFB" w:rsidRPr="001B4BFF" w:rsidRDefault="00EE2FFB" w:rsidP="0059208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Tribal Council </w:t>
            </w:r>
            <w:r w:rsidR="00C4555A">
              <w:rPr>
                <w:sz w:val="18"/>
              </w:rPr>
              <w:t>Connection</w:t>
            </w:r>
            <w:r w:rsidR="003F0DD1">
              <w:rPr>
                <w:sz w:val="18"/>
              </w:rPr>
              <w:t xml:space="preserve"> </w:t>
            </w:r>
            <w:r w:rsidR="002D0842">
              <w:rPr>
                <w:sz w:val="18"/>
              </w:rPr>
              <w:t xml:space="preserve">– </w:t>
            </w:r>
            <w:r w:rsidR="00C8457A">
              <w:rPr>
                <w:sz w:val="18"/>
              </w:rPr>
              <w:t xml:space="preserve">Ensure Council is aware of Court search and seizure policies </w:t>
            </w:r>
            <w:r>
              <w:rPr>
                <w:sz w:val="18"/>
              </w:rPr>
              <w:t>Court Capability</w:t>
            </w:r>
            <w:r w:rsidR="002D0842">
              <w:rPr>
                <w:sz w:val="18"/>
              </w:rPr>
              <w:t xml:space="preserve"> – </w:t>
            </w:r>
            <w:r w:rsidR="00C8457A">
              <w:rPr>
                <w:sz w:val="18"/>
              </w:rPr>
              <w:t>Maintain ample supply of drug testing equipment and supplies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6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01976" w:rsidTr="0059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1D4E8F" w:rsidRDefault="001D4E8F" w:rsidP="001D4E8F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9" w:type="dxa"/>
            <w:gridSpan w:val="4"/>
          </w:tcPr>
          <w:p w:rsidR="00C8457A" w:rsidRDefault="00C8457A" w:rsidP="00C8457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Describe primary case-management activities in Wellness Court Policies &amp; Procedures manual</w:t>
            </w:r>
          </w:p>
          <w:p w:rsidR="00C8457A" w:rsidRDefault="00C8457A" w:rsidP="00C8457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Identify case-management practices that may require judicial rule-making and/or legislation</w:t>
            </w:r>
          </w:p>
          <w:p w:rsidR="001D4E8F" w:rsidRPr="001B4BFF" w:rsidRDefault="00C8457A" w:rsidP="0059208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Ensure participants are fully informed of testing policies and consequences for positive tests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6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C8457A" w:rsidRPr="00157BA2" w:rsidTr="00592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9" w:type="dxa"/>
            <w:gridSpan w:val="4"/>
          </w:tcPr>
          <w:p w:rsidR="00C8457A" w:rsidRDefault="00C8457A" w:rsidP="00C8457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Be familiar and facilitate discussion with team members’ ethical concerns and considerations </w:t>
            </w:r>
          </w:p>
          <w:p w:rsidR="00C8457A" w:rsidRDefault="00C8457A" w:rsidP="00C8457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Conduct business and co-case manage in ways that reflect the Court’s sincerity and integrity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6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57BA2" w:rsidTr="0059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Context &amp; Considerations</w:t>
            </w:r>
          </w:p>
          <w:p w:rsidR="001D4E8F" w:rsidRPr="00C24C75" w:rsidRDefault="001D4E8F" w:rsidP="001D4E8F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9" w:type="dxa"/>
            <w:gridSpan w:val="4"/>
          </w:tcPr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1D4E8F" w:rsidRPr="00157BA2" w:rsidRDefault="001D4E8F" w:rsidP="001D4E8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6" w:type="dxa"/>
            <w:gridSpan w:val="2"/>
          </w:tcPr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1D4E8F" w:rsidRPr="001B4BFF" w:rsidTr="00592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C07115" w:rsidRDefault="001D4E8F" w:rsidP="001D4E8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8"/>
                <w:szCs w:val="28"/>
              </w:rPr>
            </w:pPr>
          </w:p>
        </w:tc>
      </w:tr>
      <w:tr w:rsidR="001D4E8F" w:rsidRPr="00101976" w:rsidTr="0059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 w:val="restart"/>
          </w:tcPr>
          <w:p w:rsidR="001D4E8F" w:rsidRPr="00A77907" w:rsidRDefault="001D4E8F" w:rsidP="001D4E8F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1D4E8F" w:rsidRPr="00A77907" w:rsidRDefault="001D4E8F" w:rsidP="001D4E8F">
            <w:pPr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1B4BFF" w:rsidRDefault="001D4E8F" w:rsidP="001D4E8F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5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7"/>
              <w:gridCol w:w="337"/>
            </w:tblGrid>
            <w:tr w:rsidR="001D4E8F" w:rsidTr="00C07115">
              <w:trPr>
                <w:trHeight w:val="422"/>
              </w:trPr>
              <w:tc>
                <w:tcPr>
                  <w:tcW w:w="0" w:type="auto"/>
                  <w:vAlign w:val="center"/>
                </w:tcPr>
                <w:p w:rsidR="001D4E8F" w:rsidRDefault="008B3BEA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Regularly review case management role with team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8B3BEA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Promote formal information-sharing practices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8B3BEA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w/ clients the value of busy/intense schedule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8B3BEA" w:rsidP="006E1D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Assure team members are familiar with testing process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8B3BEA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Maintain swift response to negative tests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C07115" w:rsidTr="0097413E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C07115" w:rsidRDefault="008B3BEA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Monitor the frequent nature of participant testing</w:t>
                  </w:r>
                </w:p>
              </w:tc>
              <w:tc>
                <w:tcPr>
                  <w:tcW w:w="0" w:type="auto"/>
                  <w:vAlign w:val="center"/>
                </w:tcPr>
                <w:p w:rsidR="00C07115" w:rsidRPr="00157BA2" w:rsidRDefault="00C07115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8B3BEA" w:rsidTr="0097413E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8B3BEA" w:rsidRDefault="008B3BEA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Monitor the random nature of participant testing</w:t>
                  </w:r>
                </w:p>
              </w:tc>
              <w:tc>
                <w:tcPr>
                  <w:tcW w:w="0" w:type="auto"/>
                  <w:vAlign w:val="center"/>
                </w:tcPr>
                <w:p w:rsidR="008B3BEA" w:rsidRPr="00157BA2" w:rsidRDefault="008B3BEA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1D4E8F" w:rsidRPr="001B4BFF" w:rsidRDefault="001D4E8F" w:rsidP="001D4E8F">
            <w:pPr>
              <w:rPr>
                <w:sz w:val="18"/>
              </w:rPr>
            </w:pPr>
          </w:p>
        </w:tc>
        <w:tc>
          <w:tcPr>
            <w:tcW w:w="4396" w:type="dxa"/>
            <w:gridSpan w:val="4"/>
          </w:tcPr>
          <w:p w:rsidR="001D4E8F" w:rsidRPr="001C2E9A" w:rsidRDefault="001D4E8F" w:rsidP="001D4E8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1D4E8F" w:rsidRDefault="001D4E8F" w:rsidP="001D4E8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="008B3BEA">
              <w:rPr>
                <w:sz w:val="18"/>
              </w:rPr>
              <w:t>3 Judge “is knowledgeable of addiction, alcoholism, and pharmacology generally and applies that knowledge to respond to compliance in a therapeutically appropriate manner.”</w:t>
            </w:r>
          </w:p>
          <w:p w:rsidR="001D4E8F" w:rsidRPr="001C2E9A" w:rsidRDefault="001D4E8F" w:rsidP="001D4E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1D4E8F" w:rsidRPr="001B4BFF" w:rsidRDefault="001D4E8F" w:rsidP="001D4E8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1D4E8F" w:rsidRPr="00101976" w:rsidTr="005920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/>
          </w:tcPr>
          <w:p w:rsidR="001D4E8F" w:rsidRPr="001B4BFF" w:rsidRDefault="001D4E8F" w:rsidP="001D4E8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5" w:type="dxa"/>
            <w:gridSpan w:val="2"/>
            <w:vMerge/>
          </w:tcPr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See Process &amp; Procedure Bench Card </w:t>
            </w:r>
            <w:r w:rsidR="008B3BEA">
              <w:rPr>
                <w:sz w:val="18"/>
              </w:rPr>
              <w:t>15 &amp;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D4E8F" w:rsidRPr="00101976" w:rsidTr="0059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1D4E8F" w:rsidRPr="00A77907" w:rsidRDefault="001D4E8F" w:rsidP="001D4E8F">
            <w:pPr>
              <w:spacing w:before="60" w:after="60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</w:p>
          <w:p w:rsidR="001D4E8F" w:rsidRPr="00555B1E" w:rsidRDefault="001D4E8F" w:rsidP="001D4E8F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1" w:type="dxa"/>
            <w:gridSpan w:val="6"/>
          </w:tcPr>
          <w:p w:rsidR="001D4E8F" w:rsidRPr="00A40F47" w:rsidRDefault="00DF5E25" w:rsidP="001D4E8F">
            <w:pPr>
              <w:spacing w:before="60" w:after="60"/>
              <w:rPr>
                <w:sz w:val="18"/>
                <w:szCs w:val="18"/>
              </w:rPr>
            </w:pPr>
            <w:hyperlink r:id="rId10" w:history="1">
              <w:r w:rsidR="001D4E8F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1" w:history="1">
              <w:r w:rsidR="001D4E8F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1D4E8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1D4E8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1D4E8F" w:rsidRPr="00A40F47">
              <w:rPr>
                <w:sz w:val="18"/>
                <w:szCs w:val="18"/>
              </w:rPr>
              <w:t xml:space="preserve"> , </w:t>
            </w:r>
            <w:hyperlink r:id="rId14" w:history="1">
              <w:r w:rsidR="001D4E8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1D4E8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1D4E8F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</w:tcPr>
          <w:p w:rsidR="001D4E8F" w:rsidRPr="00A40F47" w:rsidRDefault="001D4E8F" w:rsidP="001D4E8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D4E8F" w:rsidRPr="00101976" w:rsidTr="005920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B42764" w:rsidRDefault="008B3BEA" w:rsidP="00592083">
            <w:pPr>
              <w:jc w:val="right"/>
              <w:rPr>
                <w:b w:val="0"/>
                <w:bCs w:val="0"/>
                <w:sz w:val="16"/>
                <w:szCs w:val="16"/>
              </w:rPr>
            </w:pPr>
            <w:r w:rsidRPr="00454B78">
              <w:rPr>
                <w:sz w:val="16"/>
                <w:szCs w:val="16"/>
              </w:rPr>
              <w:t>“</w:t>
            </w:r>
            <w:r>
              <w:rPr>
                <w:i/>
                <w:sz w:val="16"/>
                <w:szCs w:val="16"/>
              </w:rPr>
              <w:t>The drug court model is the kind of thing we’re looking for. The shared decision-making aspect of it appeals to us. To ring more minds to the table is something that really makes sense to us in our communities</w:t>
            </w:r>
            <w:r>
              <w:rPr>
                <w:sz w:val="16"/>
                <w:szCs w:val="16"/>
              </w:rPr>
              <w:t>.</w:t>
            </w:r>
            <w:r w:rsidRPr="00454B78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9F4DB2">
              <w:rPr>
                <w:sz w:val="14"/>
                <w:szCs w:val="14"/>
              </w:rPr>
              <w:t xml:space="preserve">Judge P.J. Herne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C0711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F0083" w:rsidRPr="00A40F47" w:rsidRDefault="001F0083" w:rsidP="00A40F47">
      <w:pPr>
        <w:tabs>
          <w:tab w:val="left" w:pos="6255"/>
        </w:tabs>
      </w:pPr>
    </w:p>
    <w:sectPr w:rsidR="001F0083" w:rsidRPr="00A40F47" w:rsidSect="00A40F47">
      <w:footerReference w:type="default" r:id="rId16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25" w:rsidRDefault="00DF5E25">
      <w:pPr>
        <w:spacing w:line="20" w:lineRule="exact"/>
      </w:pPr>
    </w:p>
  </w:endnote>
  <w:endnote w:type="continuationSeparator" w:id="0">
    <w:p w:rsidR="00DF5E25" w:rsidRDefault="00DF5E25">
      <w:r>
        <w:t xml:space="preserve"> </w:t>
      </w:r>
    </w:p>
  </w:endnote>
  <w:endnote w:type="continuationNotice" w:id="1">
    <w:p w:rsidR="00DF5E25" w:rsidRDefault="00DF5E2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25" w:rsidRDefault="00DF5E25">
      <w:r>
        <w:separator/>
      </w:r>
    </w:p>
  </w:footnote>
  <w:footnote w:type="continuationSeparator" w:id="0">
    <w:p w:rsidR="00DF5E25" w:rsidRDefault="00DF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1FA8"/>
    <w:rsid w:val="00066A49"/>
    <w:rsid w:val="0007743B"/>
    <w:rsid w:val="00086699"/>
    <w:rsid w:val="00087EF0"/>
    <w:rsid w:val="00091A7D"/>
    <w:rsid w:val="000A55ED"/>
    <w:rsid w:val="000C23E3"/>
    <w:rsid w:val="000C7B8D"/>
    <w:rsid w:val="000C7CE4"/>
    <w:rsid w:val="000E10A6"/>
    <w:rsid w:val="000E2BDD"/>
    <w:rsid w:val="000F01DA"/>
    <w:rsid w:val="00101976"/>
    <w:rsid w:val="00105873"/>
    <w:rsid w:val="00157BA2"/>
    <w:rsid w:val="001603E0"/>
    <w:rsid w:val="00160D02"/>
    <w:rsid w:val="00170982"/>
    <w:rsid w:val="00171494"/>
    <w:rsid w:val="00177B06"/>
    <w:rsid w:val="001B4BFF"/>
    <w:rsid w:val="001C2E9A"/>
    <w:rsid w:val="001D4E8F"/>
    <w:rsid w:val="001F0083"/>
    <w:rsid w:val="002001D7"/>
    <w:rsid w:val="00214811"/>
    <w:rsid w:val="0021500A"/>
    <w:rsid w:val="002170A9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F0DD1"/>
    <w:rsid w:val="003F2F29"/>
    <w:rsid w:val="00401E94"/>
    <w:rsid w:val="00405287"/>
    <w:rsid w:val="0042410B"/>
    <w:rsid w:val="00425E65"/>
    <w:rsid w:val="00426CFE"/>
    <w:rsid w:val="004446E1"/>
    <w:rsid w:val="00473F32"/>
    <w:rsid w:val="00486FCF"/>
    <w:rsid w:val="004B05CD"/>
    <w:rsid w:val="004E14F3"/>
    <w:rsid w:val="004F04DC"/>
    <w:rsid w:val="004F7938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083"/>
    <w:rsid w:val="005926BB"/>
    <w:rsid w:val="005A2106"/>
    <w:rsid w:val="005A2DC8"/>
    <w:rsid w:val="005A5AC4"/>
    <w:rsid w:val="005A6D9A"/>
    <w:rsid w:val="005C3FEA"/>
    <w:rsid w:val="005E38EA"/>
    <w:rsid w:val="005E57D2"/>
    <w:rsid w:val="005E7C6C"/>
    <w:rsid w:val="00605726"/>
    <w:rsid w:val="00631E44"/>
    <w:rsid w:val="0063653F"/>
    <w:rsid w:val="0066237E"/>
    <w:rsid w:val="00662887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1D97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7948"/>
    <w:rsid w:val="00752362"/>
    <w:rsid w:val="007528D8"/>
    <w:rsid w:val="00755601"/>
    <w:rsid w:val="007577FD"/>
    <w:rsid w:val="00760830"/>
    <w:rsid w:val="00764501"/>
    <w:rsid w:val="00764D0F"/>
    <w:rsid w:val="00766806"/>
    <w:rsid w:val="00766A7F"/>
    <w:rsid w:val="00790EC5"/>
    <w:rsid w:val="007A07EE"/>
    <w:rsid w:val="007A2D1C"/>
    <w:rsid w:val="007B3757"/>
    <w:rsid w:val="007B6342"/>
    <w:rsid w:val="007C1713"/>
    <w:rsid w:val="007C5EDF"/>
    <w:rsid w:val="007C7DEB"/>
    <w:rsid w:val="007D3CA0"/>
    <w:rsid w:val="007D56A0"/>
    <w:rsid w:val="007F4124"/>
    <w:rsid w:val="007F5C7E"/>
    <w:rsid w:val="007F7287"/>
    <w:rsid w:val="008003FC"/>
    <w:rsid w:val="0080404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3BEA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34C3"/>
    <w:rsid w:val="00954B43"/>
    <w:rsid w:val="00961F99"/>
    <w:rsid w:val="009725E2"/>
    <w:rsid w:val="0097413E"/>
    <w:rsid w:val="009B71C9"/>
    <w:rsid w:val="009B78D9"/>
    <w:rsid w:val="009D294F"/>
    <w:rsid w:val="009D7532"/>
    <w:rsid w:val="009F6677"/>
    <w:rsid w:val="00A000E5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07115"/>
    <w:rsid w:val="00C11A7D"/>
    <w:rsid w:val="00C15937"/>
    <w:rsid w:val="00C201B7"/>
    <w:rsid w:val="00C24827"/>
    <w:rsid w:val="00C24C75"/>
    <w:rsid w:val="00C26702"/>
    <w:rsid w:val="00C42452"/>
    <w:rsid w:val="00C4555A"/>
    <w:rsid w:val="00C47C4B"/>
    <w:rsid w:val="00C67301"/>
    <w:rsid w:val="00C8457A"/>
    <w:rsid w:val="00C90159"/>
    <w:rsid w:val="00C906C9"/>
    <w:rsid w:val="00C96D38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1833"/>
    <w:rsid w:val="00D738E1"/>
    <w:rsid w:val="00DE71E4"/>
    <w:rsid w:val="00DF049A"/>
    <w:rsid w:val="00DF4DFD"/>
    <w:rsid w:val="00DF5E25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7042"/>
    <w:rsid w:val="00F66E9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erican.edu/spa/jpo/initiatives/drug-cour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tlpi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rugcourtonline.org" TargetMode="External"/><Relationship Id="rId10" Type="http://schemas.openxmlformats.org/officeDocument/2006/relationships/hyperlink" Target="http://www.WellnessCour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d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3647-A1C6-418D-8FA0-48DAF6BC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5</cp:revision>
  <cp:lastPrinted>2016-03-26T00:33:00Z</cp:lastPrinted>
  <dcterms:created xsi:type="dcterms:W3CDTF">2016-03-27T20:35:00Z</dcterms:created>
  <dcterms:modified xsi:type="dcterms:W3CDTF">2016-04-21T22:37:00Z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