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10810" w:type="dxa"/>
        <w:jc w:val="center"/>
        <w:tblInd w:w="683" w:type="dxa"/>
        <w:tblLook w:val="01E0" w:firstRow="1" w:lastRow="1" w:firstColumn="1" w:lastColumn="1" w:noHBand="0" w:noVBand="0"/>
      </w:tblPr>
      <w:tblGrid>
        <w:gridCol w:w="1347"/>
        <w:gridCol w:w="289"/>
        <w:gridCol w:w="4254"/>
        <w:gridCol w:w="1611"/>
        <w:gridCol w:w="1717"/>
        <w:gridCol w:w="542"/>
        <w:gridCol w:w="487"/>
        <w:gridCol w:w="563"/>
      </w:tblGrid>
      <w:tr w:rsidR="001F0083" w:rsidRPr="00101976" w:rsidTr="00E84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0" w:type="dxa"/>
            <w:gridSpan w:val="8"/>
          </w:tcPr>
          <w:p w:rsidR="00E16CDD" w:rsidRPr="00C26702" w:rsidRDefault="00E84B04" w:rsidP="00E16CD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bCs w:val="0"/>
                <w:caps/>
                <w:color w:val="FFFFFF" w:themeColor="background1"/>
                <w:szCs w:val="24"/>
              </w:rPr>
            </w:pPr>
            <w:r w:rsidRPr="00C26702">
              <w:rPr>
                <w:rFonts w:ascii="Times New Roman" w:hAnsi="Times New Roman"/>
                <w:caps/>
                <w:noProof/>
                <w:color w:val="FFFFFF" w:themeColor="background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D5A550F" wp14:editId="4D7DFAF6">
                      <wp:simplePos x="0" y="0"/>
                      <wp:positionH relativeFrom="column">
                        <wp:posOffset>5854065</wp:posOffset>
                      </wp:positionH>
                      <wp:positionV relativeFrom="paragraph">
                        <wp:posOffset>102235</wp:posOffset>
                      </wp:positionV>
                      <wp:extent cx="822960" cy="914400"/>
                      <wp:effectExtent l="0" t="0" r="1524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96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5243D9" w:rsidRDefault="00A00E65" w:rsidP="005243D9">
                                  <w:pPr>
                                    <w:jc w:val="center"/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sz w:val="76"/>
                                      <w:szCs w:val="7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60.95pt;margin-top:8.05pt;width:64.8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" fillcolor="white [3201]" strokeweight=".5pt">
                      <v:textbox>
                        <w:txbxContent>
                          <w:p w:rsidR="005243D9" w:rsidRPr="005243D9" w:rsidRDefault="00A00E65" w:rsidP="005243D9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3E0" w:rsidRPr="006921BE">
              <w:rPr>
                <w:rFonts w:ascii="Times New Roman" w:hAnsi="Times New Roman"/>
                <w:caps/>
                <w:noProof/>
                <w:color w:val="FFFFFF" w:themeColor="background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05391F6" wp14:editId="611352B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16510</wp:posOffset>
                      </wp:positionV>
                      <wp:extent cx="1339215" cy="429260"/>
                      <wp:effectExtent l="0" t="0" r="13335" b="2794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39215" cy="429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63E0" w:rsidRPr="00C412FE" w:rsidRDefault="006E63E0" w:rsidP="006E63E0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</w:pPr>
                                  <w:r w:rsidRPr="00C412FE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t>The Judge as</w:t>
                                  </w:r>
                                  <w:r w:rsidR="00662887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C8457A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br/>
                                  </w:r>
                                  <w:r w:rsidR="00804222"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8"/>
                                    </w:rPr>
                                    <w:t>Enforcer &amp; Encourager</w:t>
                                  </w:r>
                                </w:p>
                                <w:p w:rsidR="006E63E0" w:rsidRPr="005243D9" w:rsidRDefault="006E63E0" w:rsidP="006E63E0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40C79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.1pt;margin-top:1.3pt;width:105.45pt;height:33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" fillcolor="#d8d8d8 [2732]" strokeweight=".5pt">
                      <v:path arrowok="t"/>
                      <v:textbox>
                        <w:txbxContent>
                          <w:p w:rsidR="006E63E0" w:rsidRPr="00C412FE" w:rsidRDefault="006E63E0" w:rsidP="006E63E0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</w:pPr>
                            <w:r w:rsidRPr="00C412FE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t>The Judge as</w:t>
                            </w:r>
                            <w:r w:rsidR="00662887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8457A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br/>
                            </w:r>
                            <w:r w:rsidR="00804222">
                              <w:rPr>
                                <w:rFonts w:ascii="Gulim" w:eastAsia="Gulim" w:hAnsi="Gulim"/>
                                <w:i/>
                                <w:sz w:val="16"/>
                                <w:szCs w:val="18"/>
                              </w:rPr>
                              <w:t>Enforcer &amp; Encourager</w:t>
                            </w:r>
                          </w:p>
                          <w:p w:rsidR="006E63E0" w:rsidRPr="005243D9" w:rsidRDefault="006E63E0" w:rsidP="006E63E0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CDD" w:rsidRPr="00C26702">
              <w:rPr>
                <w:rFonts w:ascii="Times New Roman" w:hAnsi="Times New Roman"/>
                <w:b/>
                <w:bCs w:val="0"/>
                <w:caps/>
                <w:color w:val="FFFFFF" w:themeColor="background1"/>
                <w:szCs w:val="24"/>
              </w:rPr>
              <w:t>healing to wellness court</w:t>
            </w:r>
          </w:p>
          <w:p w:rsidR="00B729FF" w:rsidRPr="00B729FF" w:rsidRDefault="00B729FF" w:rsidP="00E16CDD">
            <w:pPr>
              <w:pStyle w:val="Heading1"/>
              <w:spacing w:before="0" w:after="0"/>
              <w:outlineLvl w:val="0"/>
            </w:pPr>
            <w:r w:rsidRPr="00C26702">
              <w:rPr>
                <w:rFonts w:ascii="Times New Roman" w:hAnsi="Times New Roman"/>
                <w:b/>
                <w:bCs w:val="0"/>
                <w:caps/>
                <w:color w:val="FFFFFF" w:themeColor="background1"/>
                <w:szCs w:val="24"/>
              </w:rPr>
              <w:t>Key component Bench Card</w:t>
            </w:r>
          </w:p>
        </w:tc>
      </w:tr>
      <w:tr w:rsidR="004446E1" w:rsidRPr="001B4BFF" w:rsidTr="00E84B04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94" w:type="dxa"/>
          <w:trHeight w:val="10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6" w:type="dxa"/>
            <w:gridSpan w:val="5"/>
            <w:vAlign w:val="center"/>
          </w:tcPr>
          <w:p w:rsidR="00E83DDC" w:rsidRPr="00A77907" w:rsidRDefault="00804222" w:rsidP="00662887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caps w:val="0"/>
              </w:rPr>
            </w:pPr>
            <w:r w:rsidRPr="00C94BD5"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>Progressive rewards (or incentives) and consequences (or sanctions) are used to encourage participant compliance with the Tribal</w:t>
            </w:r>
            <w:r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 xml:space="preserve"> H</w:t>
            </w:r>
            <w:r w:rsidRPr="00C94BD5">
              <w:rPr>
                <w:rFonts w:ascii="Arial" w:hAnsi="Arial" w:cs="Arial"/>
                <w:b/>
                <w:caps w:val="0"/>
                <w:color w:val="31849B" w:themeColor="accent5" w:themeShade="BF"/>
                <w:sz w:val="20"/>
                <w:szCs w:val="20"/>
              </w:rPr>
              <w:t>ealing to Wellness Court requirements.</w:t>
            </w:r>
          </w:p>
        </w:tc>
      </w:tr>
      <w:tr w:rsidR="007A07EE" w:rsidRPr="00101976" w:rsidTr="00E84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7" w:type="dxa"/>
            <w:gridSpan w:val="4"/>
          </w:tcPr>
          <w:p w:rsidR="00880140" w:rsidRPr="00A77907" w:rsidRDefault="00555B1E" w:rsidP="00555B1E">
            <w:pPr>
              <w:spacing w:before="60" w:after="60"/>
              <w:jc w:val="center"/>
              <w:rPr>
                <w:bCs w:val="0"/>
                <w:color w:val="215868" w:themeColor="accent5" w:themeShade="80"/>
                <w:sz w:val="18"/>
                <w:u w:val="single"/>
              </w:rPr>
            </w:pPr>
            <w:r w:rsidRPr="00A77907">
              <w:rPr>
                <w:color w:val="215868" w:themeColor="accent5" w:themeShade="80"/>
                <w:sz w:val="18"/>
                <w:u w:val="single"/>
              </w:rPr>
              <w:t>Key</w:t>
            </w:r>
            <w:r w:rsidR="007A07EE" w:rsidRPr="00A77907">
              <w:rPr>
                <w:color w:val="215868" w:themeColor="accent5" w:themeShade="80"/>
                <w:sz w:val="18"/>
                <w:u w:val="single"/>
              </w:rPr>
              <w:t xml:space="preserve"> </w:t>
            </w:r>
            <w:r w:rsidRPr="00A77907">
              <w:rPr>
                <w:color w:val="215868" w:themeColor="accent5" w:themeShade="80"/>
                <w:sz w:val="18"/>
                <w:u w:val="single"/>
              </w:rPr>
              <w:t xml:space="preserve">Concepts, </w:t>
            </w:r>
            <w:r w:rsidR="007A07EE" w:rsidRPr="00A77907">
              <w:rPr>
                <w:color w:val="215868" w:themeColor="accent5" w:themeShade="80"/>
                <w:sz w:val="18"/>
                <w:u w:val="single"/>
              </w:rPr>
              <w:t>Considerations</w:t>
            </w:r>
            <w:r w:rsidR="00F16464" w:rsidRPr="00A77907">
              <w:rPr>
                <w:color w:val="215868" w:themeColor="accent5" w:themeShade="80"/>
                <w:sz w:val="18"/>
                <w:u w:val="single"/>
              </w:rPr>
              <w:t xml:space="preserve">, &amp; </w:t>
            </w:r>
            <w:r w:rsidR="00ED2F19" w:rsidRPr="00A77907">
              <w:rPr>
                <w:color w:val="215868" w:themeColor="accent5" w:themeShade="80"/>
                <w:sz w:val="18"/>
                <w:u w:val="single"/>
              </w:rPr>
              <w:t>Questions</w:t>
            </w: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6" w:space="0" w:color="31849B" w:themeColor="accent5" w:themeShade="BF"/>
                <w:insideV w:val="single" w:sz="6" w:space="0" w:color="31849B" w:themeColor="accent5" w:themeShade="BF"/>
              </w:tblBorders>
              <w:tblLook w:val="04A0" w:firstRow="1" w:lastRow="0" w:firstColumn="1" w:lastColumn="0" w:noHBand="0" w:noVBand="1"/>
            </w:tblPr>
            <w:tblGrid>
              <w:gridCol w:w="1803"/>
              <w:gridCol w:w="5472"/>
            </w:tblGrid>
            <w:tr w:rsidR="00804222" w:rsidTr="00091102">
              <w:trPr>
                <w:trHeight w:val="288"/>
              </w:trPr>
              <w:tc>
                <w:tcPr>
                  <w:tcW w:w="1843" w:type="dxa"/>
                  <w:vMerge w:val="restart"/>
                  <w:vAlign w:val="center"/>
                </w:tcPr>
                <w:p w:rsidR="00C8457A" w:rsidRPr="00A77907" w:rsidRDefault="00804222" w:rsidP="00C8457A">
                  <w:pPr>
                    <w:spacing w:before="60" w:after="60"/>
                    <w:rPr>
                      <w:b/>
                      <w:color w:val="31849B" w:themeColor="accent5" w:themeShade="BF"/>
                      <w:sz w:val="18"/>
                      <w:u w:val="single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Charting Compliance</w:t>
                  </w:r>
                </w:p>
              </w:tc>
              <w:tc>
                <w:tcPr>
                  <w:tcW w:w="5760" w:type="dxa"/>
                  <w:vAlign w:val="center"/>
                </w:tcPr>
                <w:p w:rsidR="00C8457A" w:rsidRDefault="00091102" w:rsidP="00C8457A">
                  <w:r>
                    <w:rPr>
                      <w:color w:val="000000" w:themeColor="text1"/>
                      <w:sz w:val="18"/>
                      <w:szCs w:val="18"/>
                    </w:rPr>
                    <w:t>Are provider compliance reports swiftly received through a seamless process?</w:t>
                  </w:r>
                </w:p>
              </w:tc>
            </w:tr>
            <w:tr w:rsidR="00091102" w:rsidTr="00091102">
              <w:trPr>
                <w:trHeight w:val="432"/>
              </w:trPr>
              <w:tc>
                <w:tcPr>
                  <w:tcW w:w="1843" w:type="dxa"/>
                  <w:vMerge/>
                  <w:vAlign w:val="center"/>
                </w:tcPr>
                <w:p w:rsidR="00091102" w:rsidRDefault="00091102" w:rsidP="00C8457A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091102" w:rsidRDefault="00091102" w:rsidP="00C8457A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Are clients aware of all general Court requirements not included in the </w:t>
                  </w:r>
                  <w:proofErr w:type="spellStart"/>
                  <w:r>
                    <w:rPr>
                      <w:color w:val="000000" w:themeColor="text1"/>
                      <w:sz w:val="18"/>
                      <w:szCs w:val="18"/>
                    </w:rPr>
                    <w:t>Tx</w:t>
                  </w:r>
                  <w:proofErr w:type="spellEnd"/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plan?</w:t>
                  </w:r>
                </w:p>
              </w:tc>
            </w:tr>
            <w:tr w:rsidR="00804222" w:rsidTr="00091102">
              <w:trPr>
                <w:trHeight w:val="288"/>
              </w:trPr>
              <w:tc>
                <w:tcPr>
                  <w:tcW w:w="1843" w:type="dxa"/>
                  <w:vMerge w:val="restart"/>
                  <w:vAlign w:val="center"/>
                </w:tcPr>
                <w:p w:rsidR="00662887" w:rsidRPr="00A77907" w:rsidRDefault="00804222" w:rsidP="00C8457A">
                  <w:pPr>
                    <w:spacing w:before="60" w:after="60"/>
                    <w:rPr>
                      <w:b/>
                      <w:color w:val="31849B" w:themeColor="accent5" w:themeShade="BF"/>
                      <w:sz w:val="18"/>
                      <w:u w:val="single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Progressive/</w:t>
                  </w:r>
                  <w:r>
                    <w:rPr>
                      <w:b/>
                      <w:color w:val="215868" w:themeColor="accent5" w:themeShade="80"/>
                      <w:sz w:val="18"/>
                    </w:rPr>
                    <w:br/>
                    <w:t>Graduated</w:t>
                  </w:r>
                </w:p>
              </w:tc>
              <w:tc>
                <w:tcPr>
                  <w:tcW w:w="5760" w:type="dxa"/>
                  <w:vAlign w:val="center"/>
                </w:tcPr>
                <w:p w:rsidR="00662887" w:rsidRPr="00C8457A" w:rsidRDefault="00091102" w:rsidP="00C8457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>Do incentives/sanctions increase in intensity?</w:t>
                  </w:r>
                </w:p>
              </w:tc>
            </w:tr>
            <w:tr w:rsidR="00C8457A" w:rsidTr="00091102">
              <w:trPr>
                <w:trHeight w:val="288"/>
              </w:trPr>
              <w:tc>
                <w:tcPr>
                  <w:tcW w:w="1843" w:type="dxa"/>
                  <w:vMerge/>
                  <w:vAlign w:val="center"/>
                </w:tcPr>
                <w:p w:rsidR="00C8457A" w:rsidRPr="006B4CB6" w:rsidRDefault="00C8457A" w:rsidP="00C8457A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C8457A" w:rsidRPr="00C8457A" w:rsidRDefault="00091102" w:rsidP="00C8457A">
                  <w:pPr>
                    <w:tabs>
                      <w:tab w:val="left" w:pos="2160"/>
                    </w:tabs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Are incentives/sanctions coordinated with Court phases?</w:t>
                  </w:r>
                </w:p>
              </w:tc>
            </w:tr>
            <w:tr w:rsidR="00091102" w:rsidTr="00091102">
              <w:trPr>
                <w:trHeight w:val="432"/>
              </w:trPr>
              <w:tc>
                <w:tcPr>
                  <w:tcW w:w="1843" w:type="dxa"/>
                  <w:vMerge w:val="restart"/>
                  <w:vAlign w:val="center"/>
                </w:tcPr>
                <w:p w:rsidR="00091102" w:rsidRPr="006B4CB6" w:rsidRDefault="00091102" w:rsidP="00C8457A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Incentives/ Sanctions</w:t>
                  </w:r>
                </w:p>
              </w:tc>
              <w:tc>
                <w:tcPr>
                  <w:tcW w:w="5760" w:type="dxa"/>
                  <w:vAlign w:val="center"/>
                </w:tcPr>
                <w:p w:rsidR="00091102" w:rsidRDefault="00091102" w:rsidP="00C8457A">
                  <w:pPr>
                    <w:tabs>
                      <w:tab w:val="left" w:pos="2160"/>
                    </w:tabs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Are incentives/sanctions tailored to suit participant’s personal motivations and circumstances?</w:t>
                  </w:r>
                </w:p>
              </w:tc>
            </w:tr>
            <w:tr w:rsidR="00091102" w:rsidTr="00091102">
              <w:trPr>
                <w:trHeight w:val="432"/>
              </w:trPr>
              <w:tc>
                <w:tcPr>
                  <w:tcW w:w="1843" w:type="dxa"/>
                  <w:vMerge/>
                  <w:vAlign w:val="center"/>
                </w:tcPr>
                <w:p w:rsidR="00091102" w:rsidRPr="00F16464" w:rsidRDefault="00091102" w:rsidP="00C8457A">
                  <w:pPr>
                    <w:spacing w:before="60" w:after="60"/>
                    <w:rPr>
                      <w:color w:val="FFFFFF" w:themeColor="background1"/>
                      <w:sz w:val="18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091102" w:rsidRPr="00C8457A" w:rsidRDefault="00091102" w:rsidP="00C8457A">
                  <w:pPr>
                    <w:tabs>
                      <w:tab w:val="left" w:pos="2160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Do incentives/sanctions serve as learning steps; fulfill therapeutic purpose?</w:t>
                  </w:r>
                </w:p>
              </w:tc>
            </w:tr>
            <w:tr w:rsidR="00091102" w:rsidTr="00091102">
              <w:trPr>
                <w:trHeight w:val="432"/>
              </w:trPr>
              <w:tc>
                <w:tcPr>
                  <w:tcW w:w="1843" w:type="dxa"/>
                  <w:vMerge/>
                  <w:vAlign w:val="center"/>
                </w:tcPr>
                <w:p w:rsidR="00091102" w:rsidRDefault="00091102" w:rsidP="00C8457A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091102" w:rsidRDefault="00091102" w:rsidP="00C8457A">
                  <w:pPr>
                    <w:tabs>
                      <w:tab w:val="left" w:pos="2160"/>
                    </w:tabs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Do incentives/sanctions have some connection with the triggering act?</w:t>
                  </w:r>
                </w:p>
              </w:tc>
            </w:tr>
            <w:tr w:rsidR="00C8457A" w:rsidTr="00091102">
              <w:trPr>
                <w:trHeight w:val="432"/>
              </w:trPr>
              <w:tc>
                <w:tcPr>
                  <w:tcW w:w="1843" w:type="dxa"/>
                  <w:vAlign w:val="center"/>
                </w:tcPr>
                <w:p w:rsidR="00C8457A" w:rsidRDefault="00804222" w:rsidP="00C8457A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Graduation</w:t>
                  </w:r>
                  <w:r w:rsidR="00C8457A">
                    <w:rPr>
                      <w:b/>
                      <w:color w:val="215868" w:themeColor="accent5" w:themeShade="80"/>
                      <w:sz w:val="18"/>
                    </w:rPr>
                    <w:t xml:space="preserve"> </w:t>
                  </w:r>
                </w:p>
              </w:tc>
              <w:tc>
                <w:tcPr>
                  <w:tcW w:w="5760" w:type="dxa"/>
                  <w:vAlign w:val="center"/>
                </w:tcPr>
                <w:p w:rsidR="00C8457A" w:rsidRPr="00C8457A" w:rsidRDefault="00091102" w:rsidP="00C8457A">
                  <w:pPr>
                    <w:tabs>
                      <w:tab w:val="left" w:pos="2160"/>
                    </w:tabs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What connection to the Court does participant maintain after completion?</w:t>
                  </w:r>
                </w:p>
              </w:tc>
            </w:tr>
            <w:tr w:rsidR="00091102" w:rsidTr="00091102">
              <w:trPr>
                <w:trHeight w:val="288"/>
              </w:trPr>
              <w:tc>
                <w:tcPr>
                  <w:tcW w:w="1843" w:type="dxa"/>
                  <w:vMerge w:val="restart"/>
                  <w:vAlign w:val="center"/>
                </w:tcPr>
                <w:p w:rsidR="00091102" w:rsidRDefault="00091102" w:rsidP="00C8457A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  <w:r>
                    <w:rPr>
                      <w:b/>
                      <w:color w:val="215868" w:themeColor="accent5" w:themeShade="80"/>
                      <w:sz w:val="18"/>
                    </w:rPr>
                    <w:t>Termination</w:t>
                  </w:r>
                </w:p>
              </w:tc>
              <w:tc>
                <w:tcPr>
                  <w:tcW w:w="5760" w:type="dxa"/>
                  <w:vAlign w:val="center"/>
                </w:tcPr>
                <w:p w:rsidR="00091102" w:rsidRDefault="00091102" w:rsidP="00C8457A">
                  <w:pPr>
                    <w:tabs>
                      <w:tab w:val="left" w:pos="2160"/>
                    </w:tabs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What conduct causes disconnection from Court?</w:t>
                  </w:r>
                </w:p>
              </w:tc>
            </w:tr>
            <w:tr w:rsidR="00091102" w:rsidTr="00E84B04">
              <w:trPr>
                <w:trHeight w:val="219"/>
              </w:trPr>
              <w:tc>
                <w:tcPr>
                  <w:tcW w:w="1843" w:type="dxa"/>
                  <w:vMerge/>
                  <w:vAlign w:val="center"/>
                </w:tcPr>
                <w:p w:rsidR="00091102" w:rsidRDefault="00091102" w:rsidP="00C8457A">
                  <w:pPr>
                    <w:spacing w:before="60" w:after="60"/>
                    <w:rPr>
                      <w:b/>
                      <w:color w:val="215868" w:themeColor="accent5" w:themeShade="80"/>
                      <w:sz w:val="18"/>
                    </w:rPr>
                  </w:pPr>
                </w:p>
              </w:tc>
              <w:tc>
                <w:tcPr>
                  <w:tcW w:w="5760" w:type="dxa"/>
                  <w:vAlign w:val="center"/>
                </w:tcPr>
                <w:p w:rsidR="00091102" w:rsidRDefault="00091102" w:rsidP="00E84B04">
                  <w:pPr>
                    <w:tabs>
                      <w:tab w:val="left" w:pos="2160"/>
                    </w:tabs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 xml:space="preserve">Is termination </w:t>
                  </w:r>
                  <w:r w:rsidR="00E84B04">
                    <w:rPr>
                      <w:color w:val="000000" w:themeColor="text1"/>
                      <w:sz w:val="18"/>
                    </w:rPr>
                    <w:t xml:space="preserve">process </w:t>
                  </w:r>
                  <w:r>
                    <w:rPr>
                      <w:color w:val="000000" w:themeColor="text1"/>
                      <w:sz w:val="18"/>
                    </w:rPr>
                    <w:t>clearly described? Potential for re-entry?</w:t>
                  </w:r>
                  <w:bookmarkStart w:id="0" w:name="_GoBack"/>
                  <w:bookmarkEnd w:id="0"/>
                </w:p>
              </w:tc>
            </w:tr>
          </w:tbl>
          <w:p w:rsidR="007A07EE" w:rsidRPr="001B4BFF" w:rsidRDefault="007A07EE" w:rsidP="003F0DD1">
            <w:pPr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13" w:type="dxa"/>
            <w:gridSpan w:val="4"/>
          </w:tcPr>
          <w:p w:rsidR="007A07EE" w:rsidRDefault="008802FD" w:rsidP="001B4BFF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8802FD" w:rsidRDefault="008802FD" w:rsidP="001B4BFF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07743B" w:rsidRDefault="0007743B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7743B" w:rsidRDefault="0007743B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07743B" w:rsidRDefault="0007743B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6E418F">
              <w:rPr>
                <w:sz w:val="24"/>
                <w:szCs w:val="24"/>
              </w:rPr>
              <w:t>Excerpt from Statute, P &amp; P, Court Rules, etc.</w:t>
            </w:r>
            <w:r>
              <w:rPr>
                <w:sz w:val="24"/>
                <w:szCs w:val="24"/>
              </w:rPr>
              <w:t>”</w:t>
            </w:r>
          </w:p>
          <w:p w:rsidR="006E418F" w:rsidRDefault="006E418F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E418F" w:rsidRDefault="006E418F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“Alumni Quote”</w:t>
            </w:r>
          </w:p>
          <w:p w:rsidR="00A90831" w:rsidRDefault="00A90831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90831" w:rsidRDefault="00A90831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90831" w:rsidRDefault="00A90831" w:rsidP="001B4BFF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90831" w:rsidRPr="00A90831" w:rsidRDefault="00A90831" w:rsidP="001B4BFF">
            <w:pPr>
              <w:spacing w:before="60" w:after="60"/>
              <w:jc w:val="center"/>
              <w:rPr>
                <w:sz w:val="10"/>
                <w:szCs w:val="10"/>
              </w:rPr>
            </w:pPr>
          </w:p>
        </w:tc>
      </w:tr>
      <w:tr w:rsidR="00EE2FFB" w:rsidRPr="001B4BFF" w:rsidTr="00E8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0" w:type="dxa"/>
            <w:gridSpan w:val="8"/>
          </w:tcPr>
          <w:p w:rsidR="00EE2FFB" w:rsidRPr="009434C3" w:rsidRDefault="00C4555A" w:rsidP="00C4555A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b/>
                <w:i/>
                <w:sz w:val="16"/>
                <w:szCs w:val="16"/>
              </w:rPr>
            </w:pPr>
            <w:r w:rsidRPr="00A77907">
              <w:rPr>
                <w:b/>
                <w:i/>
                <w:color w:val="215868" w:themeColor="accent5" w:themeShade="80"/>
              </w:rPr>
              <w:t>Jurist – Judicial</w:t>
            </w:r>
            <w:r w:rsidR="00061FA8">
              <w:rPr>
                <w:b/>
                <w:i/>
                <w:color w:val="215868" w:themeColor="accent5" w:themeShade="80"/>
              </w:rPr>
              <w:t xml:space="preserve"> </w:t>
            </w:r>
            <w:r w:rsidRPr="00A77907">
              <w:rPr>
                <w:b/>
                <w:i/>
                <w:color w:val="215868" w:themeColor="accent5" w:themeShade="80"/>
              </w:rPr>
              <w:t>roles &amp; responsiblities</w:t>
            </w:r>
            <w:r w:rsidR="00C67301" w:rsidRPr="00A77907">
              <w:rPr>
                <w:b/>
                <w:i/>
                <w:color w:val="215868" w:themeColor="accent5" w:themeShade="80"/>
              </w:rPr>
              <w:t xml:space="preserve">      </w:t>
            </w:r>
          </w:p>
        </w:tc>
      </w:tr>
      <w:tr w:rsidR="00EE2FFB" w:rsidRPr="00101976" w:rsidTr="00E84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  <w:vAlign w:val="center"/>
          </w:tcPr>
          <w:p w:rsidR="00EE2FFB" w:rsidRPr="00A77907" w:rsidRDefault="00A40F47" w:rsidP="00A40F47">
            <w:pPr>
              <w:spacing w:before="60" w:after="60"/>
              <w:jc w:val="center"/>
              <w:rPr>
                <w:color w:val="215868" w:themeColor="accent5" w:themeShade="80"/>
                <w:sz w:val="18"/>
              </w:rPr>
            </w:pPr>
            <w:r>
              <w:rPr>
                <w:color w:val="215868" w:themeColor="accent5" w:themeShade="80"/>
                <w:sz w:val="18"/>
              </w:rPr>
              <w:t>Functions and Formalities</w:t>
            </w:r>
          </w:p>
          <w:p w:rsidR="00C67301" w:rsidRPr="00755601" w:rsidRDefault="00C67301" w:rsidP="00A40F47">
            <w:pPr>
              <w:spacing w:before="60" w:after="60"/>
              <w:jc w:val="center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4" w:type="dxa"/>
            <w:gridSpan w:val="4"/>
          </w:tcPr>
          <w:p w:rsidR="00EE2FFB" w:rsidRDefault="00EE2FFB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Community Connection</w:t>
            </w:r>
            <w:r w:rsidR="0058311A">
              <w:rPr>
                <w:sz w:val="18"/>
              </w:rPr>
              <w:t xml:space="preserve"> –</w:t>
            </w:r>
            <w:r w:rsidR="00A40F47">
              <w:rPr>
                <w:sz w:val="18"/>
              </w:rPr>
              <w:t xml:space="preserve"> </w:t>
            </w:r>
            <w:r w:rsidR="00091102">
              <w:rPr>
                <w:sz w:val="18"/>
              </w:rPr>
              <w:t>Highlight the Court’s behavioral modification practices</w:t>
            </w:r>
          </w:p>
          <w:p w:rsidR="006E1D97" w:rsidRDefault="00EE2FFB" w:rsidP="009434C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Tribal Council </w:t>
            </w:r>
            <w:r w:rsidR="00C4555A">
              <w:rPr>
                <w:sz w:val="18"/>
              </w:rPr>
              <w:t>Connection</w:t>
            </w:r>
            <w:r w:rsidR="003F0DD1">
              <w:rPr>
                <w:sz w:val="18"/>
              </w:rPr>
              <w:t xml:space="preserve"> </w:t>
            </w:r>
            <w:r w:rsidR="002D0842">
              <w:rPr>
                <w:sz w:val="18"/>
              </w:rPr>
              <w:t xml:space="preserve">– </w:t>
            </w:r>
            <w:r w:rsidR="00091102">
              <w:rPr>
                <w:sz w:val="18"/>
              </w:rPr>
              <w:t>Ensure Tribal leadership can distinguish a sanction and a criminal penalty</w:t>
            </w:r>
          </w:p>
          <w:p w:rsidR="00EE2FFB" w:rsidRPr="001B4BFF" w:rsidRDefault="00EE2FFB" w:rsidP="00091102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Court Capability</w:t>
            </w:r>
            <w:r w:rsidR="002D0842">
              <w:rPr>
                <w:sz w:val="18"/>
              </w:rPr>
              <w:t xml:space="preserve"> – </w:t>
            </w:r>
            <w:r w:rsidR="00091102">
              <w:rPr>
                <w:sz w:val="18"/>
              </w:rPr>
              <w:t>Constantly seek sources of both incentives and sanctions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1" w:type="dxa"/>
            <w:gridSpan w:val="2"/>
            <w:vAlign w:val="center"/>
          </w:tcPr>
          <w:p w:rsidR="00EE2FFB" w:rsidRPr="001B4BFF" w:rsidRDefault="00EE2FFB" w:rsidP="00E45613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D4E8F" w:rsidRPr="00101976" w:rsidTr="00E8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  <w:vAlign w:val="center"/>
          </w:tcPr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Legal Process</w:t>
            </w:r>
          </w:p>
          <w:p w:rsidR="001D4E8F" w:rsidRDefault="001D4E8F" w:rsidP="001D4E8F">
            <w:pPr>
              <w:jc w:val="center"/>
              <w:rPr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&amp; Procedures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4" w:type="dxa"/>
            <w:gridSpan w:val="4"/>
          </w:tcPr>
          <w:p w:rsidR="00091102" w:rsidRDefault="00091102" w:rsidP="00091102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Monitor application of sanctions and incentives for consistency and certainty</w:t>
            </w:r>
          </w:p>
          <w:p w:rsidR="00091102" w:rsidRDefault="00091102" w:rsidP="00091102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Include in participant consent forms, contracts, docs, etc., acknowledgement of sanction potential</w:t>
            </w:r>
          </w:p>
          <w:p w:rsidR="001D4E8F" w:rsidRPr="001B4BFF" w:rsidRDefault="00091102" w:rsidP="00091102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For sanctions affecting liberty, ensure determination pr</w:t>
            </w:r>
            <w:r w:rsidR="00A00E65">
              <w:rPr>
                <w:sz w:val="18"/>
              </w:rPr>
              <w:t>ocess is transparent and fair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1" w:type="dxa"/>
            <w:gridSpan w:val="2"/>
            <w:vAlign w:val="center"/>
          </w:tcPr>
          <w:p w:rsidR="001D4E8F" w:rsidRPr="001B4BFF" w:rsidRDefault="001D4E8F" w:rsidP="001D4E8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C8457A" w:rsidRPr="00157BA2" w:rsidTr="00E84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  <w:vAlign w:val="center"/>
          </w:tcPr>
          <w:p w:rsidR="00C8457A" w:rsidRPr="001B4BFF" w:rsidRDefault="00C8457A" w:rsidP="00C8457A">
            <w:pPr>
              <w:spacing w:before="60" w:after="60"/>
              <w:jc w:val="center"/>
              <w:rPr>
                <w:b w:val="0"/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Ethics &amp; Protocol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4" w:type="dxa"/>
            <w:gridSpan w:val="4"/>
          </w:tcPr>
          <w:p w:rsidR="00A00E65" w:rsidRDefault="00A00E65" w:rsidP="00A00E6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Facilitate fair and consistent application of sanctions and incentives</w:t>
            </w:r>
          </w:p>
          <w:p w:rsidR="00C8457A" w:rsidRDefault="00A00E65" w:rsidP="00A00E65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Respond to participant concerns, complaints, and grievances immediately and expeditiously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1" w:type="dxa"/>
            <w:gridSpan w:val="2"/>
            <w:vAlign w:val="center"/>
          </w:tcPr>
          <w:p w:rsidR="00C8457A" w:rsidRPr="001B4BFF" w:rsidRDefault="00C8457A" w:rsidP="00C8457A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D4E8F" w:rsidRPr="00157BA2" w:rsidTr="00E8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gridSpan w:val="2"/>
            <w:vAlign w:val="center"/>
          </w:tcPr>
          <w:p w:rsidR="001D4E8F" w:rsidRPr="00A77907" w:rsidRDefault="001D4E8F" w:rsidP="001D4E8F">
            <w:pPr>
              <w:spacing w:before="60" w:after="60"/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Legal Context &amp; Considerations</w:t>
            </w:r>
          </w:p>
          <w:p w:rsidR="001D4E8F" w:rsidRPr="00C24C75" w:rsidRDefault="001D4E8F" w:rsidP="001D4E8F">
            <w:pPr>
              <w:spacing w:before="60" w:after="60"/>
              <w:jc w:val="center"/>
              <w:rPr>
                <w:b w:val="0"/>
                <w:i/>
                <w:color w:val="003366"/>
                <w:sz w:val="16"/>
                <w:szCs w:val="16"/>
              </w:rPr>
            </w:pPr>
            <w:r w:rsidRPr="00C24C75">
              <w:rPr>
                <w:b w:val="0"/>
                <w:i/>
                <w:color w:val="000000" w:themeColor="text1"/>
                <w:sz w:val="16"/>
                <w:szCs w:val="16"/>
              </w:rPr>
              <w:t>(Assure no conflict with exi</w:t>
            </w:r>
            <w:r>
              <w:rPr>
                <w:b w:val="0"/>
                <w:i/>
                <w:color w:val="000000" w:themeColor="text1"/>
                <w:sz w:val="16"/>
                <w:szCs w:val="16"/>
              </w:rPr>
              <w:t>s</w:t>
            </w:r>
            <w:r w:rsidRPr="00C24C75">
              <w:rPr>
                <w:b w:val="0"/>
                <w:i/>
                <w:color w:val="000000" w:themeColor="text1"/>
                <w:sz w:val="16"/>
                <w:szCs w:val="16"/>
              </w:rPr>
              <w:t>ting law)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34" w:type="dxa"/>
            <w:gridSpan w:val="4"/>
          </w:tcPr>
          <w:p w:rsidR="001D4E8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Constitution </w:t>
            </w:r>
          </w:p>
          <w:p w:rsidR="001D4E8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Code</w:t>
            </w:r>
          </w:p>
          <w:p w:rsidR="001D4E8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Council Resolution</w:t>
            </w:r>
          </w:p>
          <w:p w:rsidR="001D4E8F" w:rsidRPr="00157BA2" w:rsidRDefault="001D4E8F" w:rsidP="001D4E8F">
            <w:pPr>
              <w:spacing w:before="60" w:after="60"/>
              <w:rPr>
                <w:color w:val="C0504D" w:themeColor="accent2"/>
                <w:sz w:val="18"/>
              </w:rPr>
            </w:pPr>
            <w:r>
              <w:rPr>
                <w:sz w:val="18"/>
              </w:rPr>
              <w:t>Common Law</w:t>
            </w:r>
          </w:p>
          <w:p w:rsidR="001D4E8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Court Rule</w:t>
            </w:r>
          </w:p>
          <w:p w:rsidR="001D4E8F" w:rsidRPr="001B4BFF" w:rsidRDefault="001D4E8F" w:rsidP="001D4E8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Custom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51" w:type="dxa"/>
            <w:gridSpan w:val="2"/>
          </w:tcPr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  <w:p w:rsidR="001D4E8F" w:rsidRPr="00157BA2" w:rsidRDefault="001D4E8F" w:rsidP="001D4E8F">
            <w:pPr>
              <w:spacing w:before="60" w:after="60"/>
              <w:jc w:val="center"/>
              <w:rPr>
                <w:rFonts w:cs="Arial"/>
              </w:rPr>
            </w:pPr>
            <w:r w:rsidRPr="00157BA2">
              <w:rPr>
                <w:rFonts w:cs="Arial"/>
              </w:rPr>
              <w:t>□</w:t>
            </w:r>
          </w:p>
        </w:tc>
      </w:tr>
      <w:tr w:rsidR="001D4E8F" w:rsidRPr="001B4BFF" w:rsidTr="00E84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0" w:type="dxa"/>
            <w:gridSpan w:val="8"/>
          </w:tcPr>
          <w:p w:rsidR="001D4E8F" w:rsidRPr="00C07115" w:rsidRDefault="001D4E8F" w:rsidP="001D4E8F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sz w:val="8"/>
                <w:szCs w:val="28"/>
              </w:rPr>
            </w:pPr>
          </w:p>
        </w:tc>
      </w:tr>
      <w:tr w:rsidR="001D4E8F" w:rsidRPr="00101976" w:rsidTr="00E8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Merge w:val="restart"/>
          </w:tcPr>
          <w:p w:rsidR="001D4E8F" w:rsidRPr="00A77907" w:rsidRDefault="001D4E8F" w:rsidP="001D4E8F">
            <w:pPr>
              <w:rPr>
                <w:color w:val="215868" w:themeColor="accent5" w:themeShade="80"/>
                <w:sz w:val="18"/>
                <w:u w:val="single"/>
              </w:rPr>
            </w:pPr>
            <w:r w:rsidRPr="00A77907">
              <w:rPr>
                <w:color w:val="215868" w:themeColor="accent5" w:themeShade="80"/>
                <w:sz w:val="18"/>
                <w:u w:val="single"/>
              </w:rPr>
              <w:t>SUGGESTED</w:t>
            </w:r>
          </w:p>
          <w:p w:rsidR="001D4E8F" w:rsidRPr="00A77907" w:rsidRDefault="001D4E8F" w:rsidP="001D4E8F">
            <w:pPr>
              <w:rPr>
                <w:color w:val="215868" w:themeColor="accent5" w:themeShade="80"/>
                <w:sz w:val="18"/>
              </w:rPr>
            </w:pP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Practices</w:t>
            </w: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Training</w:t>
            </w: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Coaching</w:t>
            </w:r>
          </w:p>
          <w:p w:rsidR="001D4E8F" w:rsidRPr="00A77907" w:rsidRDefault="001D4E8F" w:rsidP="001D4E8F">
            <w:pPr>
              <w:jc w:val="center"/>
              <w:rPr>
                <w:color w:val="215868" w:themeColor="accent5" w:themeShade="80"/>
                <w:sz w:val="18"/>
              </w:rPr>
            </w:pPr>
          </w:p>
          <w:p w:rsidR="001D4E8F" w:rsidRPr="001B4BFF" w:rsidRDefault="001D4E8F" w:rsidP="001D4E8F">
            <w:pPr>
              <w:jc w:val="center"/>
              <w:rPr>
                <w:b w:val="0"/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Support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8" w:type="dxa"/>
            <w:gridSpan w:val="2"/>
            <w:vMerge w:val="restart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8"/>
              <w:gridCol w:w="337"/>
            </w:tblGrid>
            <w:tr w:rsidR="001D4E8F" w:rsidTr="00E84B04">
              <w:trPr>
                <w:trHeight w:val="135"/>
              </w:trPr>
              <w:tc>
                <w:tcPr>
                  <w:tcW w:w="0" w:type="auto"/>
                  <w:vAlign w:val="center"/>
                </w:tcPr>
                <w:p w:rsidR="001D4E8F" w:rsidRDefault="00A00E65" w:rsidP="00E84B0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Review reporting obligations with team </w:t>
                  </w:r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1D4E8F" w:rsidTr="00E84B04">
              <w:trPr>
                <w:trHeight w:val="144"/>
              </w:trPr>
              <w:tc>
                <w:tcPr>
                  <w:tcW w:w="0" w:type="auto"/>
                  <w:vAlign w:val="center"/>
                </w:tcPr>
                <w:p w:rsidR="001D4E8F" w:rsidRDefault="00A00E65" w:rsidP="00E84B0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Detail information-sharing policies in MOUs</w:t>
                  </w:r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1D4E8F" w:rsidTr="00A00E65">
              <w:trPr>
                <w:trHeight w:val="144"/>
              </w:trPr>
              <w:tc>
                <w:tcPr>
                  <w:tcW w:w="0" w:type="auto"/>
                  <w:vAlign w:val="center"/>
                </w:tcPr>
                <w:p w:rsidR="001D4E8F" w:rsidRDefault="00A00E65" w:rsidP="00C07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Review incentive/sanction schedule regularly</w:t>
                  </w:r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1D4E8F" w:rsidTr="00E84B04">
              <w:trPr>
                <w:trHeight w:val="80"/>
              </w:trPr>
              <w:tc>
                <w:tcPr>
                  <w:tcW w:w="0" w:type="auto"/>
                  <w:vAlign w:val="center"/>
                </w:tcPr>
                <w:p w:rsidR="001D4E8F" w:rsidRDefault="00E84B04" w:rsidP="00C07115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Search</w:t>
                  </w:r>
                  <w:r w:rsidR="00A00E65">
                    <w:rPr>
                      <w:sz w:val="18"/>
                    </w:rPr>
                    <w:t xml:space="preserve"> for creative sanctions/incentives</w:t>
                  </w:r>
                </w:p>
              </w:tc>
              <w:tc>
                <w:tcPr>
                  <w:tcW w:w="0" w:type="auto"/>
                  <w:vAlign w:val="center"/>
                </w:tcPr>
                <w:p w:rsidR="001D4E8F" w:rsidRPr="0063653F" w:rsidRDefault="001D4E8F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C07115" w:rsidTr="00A00E65">
              <w:trPr>
                <w:trHeight w:val="144"/>
              </w:trPr>
              <w:tc>
                <w:tcPr>
                  <w:tcW w:w="0" w:type="auto"/>
                  <w:vAlign w:val="center"/>
                </w:tcPr>
                <w:p w:rsidR="00C07115" w:rsidRDefault="00A00E65" w:rsidP="0097413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Maintain familiarity of research/best practices</w:t>
                  </w:r>
                </w:p>
              </w:tc>
              <w:tc>
                <w:tcPr>
                  <w:tcW w:w="0" w:type="auto"/>
                  <w:vAlign w:val="center"/>
                </w:tcPr>
                <w:p w:rsidR="00C07115" w:rsidRPr="00157BA2" w:rsidRDefault="00C07115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  <w:tr w:rsidR="008B3BEA" w:rsidTr="00A00E65">
              <w:trPr>
                <w:trHeight w:val="144"/>
              </w:trPr>
              <w:tc>
                <w:tcPr>
                  <w:tcW w:w="0" w:type="auto"/>
                  <w:vAlign w:val="center"/>
                </w:tcPr>
                <w:p w:rsidR="008B3BEA" w:rsidRDefault="00A00E65" w:rsidP="00E84B0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Track/evaluate time</w:t>
                  </w:r>
                  <w:r w:rsidR="00E84B04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from act to application</w:t>
                  </w:r>
                </w:p>
              </w:tc>
              <w:tc>
                <w:tcPr>
                  <w:tcW w:w="0" w:type="auto"/>
                  <w:vAlign w:val="center"/>
                </w:tcPr>
                <w:p w:rsidR="008B3BEA" w:rsidRPr="00157BA2" w:rsidRDefault="008B3BEA" w:rsidP="00C07115">
                  <w:pPr>
                    <w:spacing w:before="60" w:after="60"/>
                    <w:jc w:val="center"/>
                    <w:rPr>
                      <w:rFonts w:cs="Arial"/>
                    </w:rPr>
                  </w:pPr>
                  <w:r w:rsidRPr="00157BA2">
                    <w:rPr>
                      <w:rFonts w:cs="Arial"/>
                    </w:rPr>
                    <w:t>□</w:t>
                  </w:r>
                </w:p>
              </w:tc>
            </w:tr>
          </w:tbl>
          <w:p w:rsidR="001D4E8F" w:rsidRPr="001B4BFF" w:rsidRDefault="001D4E8F" w:rsidP="001D4E8F">
            <w:pPr>
              <w:rPr>
                <w:sz w:val="18"/>
              </w:rPr>
            </w:pPr>
          </w:p>
        </w:tc>
        <w:tc>
          <w:tcPr>
            <w:tcW w:w="4363" w:type="dxa"/>
            <w:gridSpan w:val="4"/>
          </w:tcPr>
          <w:p w:rsidR="001D4E8F" w:rsidRPr="001C2E9A" w:rsidRDefault="001D4E8F" w:rsidP="001D4E8F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1C2E9A">
              <w:rPr>
                <w:b/>
                <w:sz w:val="18"/>
              </w:rPr>
              <w:t>Related NADCP Core Competency</w:t>
            </w:r>
          </w:p>
          <w:p w:rsidR="001D4E8F" w:rsidRDefault="001D4E8F" w:rsidP="001D4E8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# </w:t>
            </w:r>
            <w:r w:rsidR="00A00E65">
              <w:rPr>
                <w:sz w:val="18"/>
              </w:rPr>
              <w:t>2 – The judges “as part of the drug court team, in appropriate non-court settings (i.e., staffing), the judge advocates for effective incentives and sanctions for program compliance or lack thereof.”</w:t>
            </w:r>
          </w:p>
          <w:p w:rsidR="001D4E8F" w:rsidRPr="001C2E9A" w:rsidRDefault="001D4E8F" w:rsidP="001D4E8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3" w:type="dxa"/>
            <w:vMerge w:val="restart"/>
          </w:tcPr>
          <w:p w:rsidR="001D4E8F" w:rsidRPr="001B4BFF" w:rsidRDefault="001D4E8F" w:rsidP="001D4E8F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1D4E8F" w:rsidRPr="00101976" w:rsidTr="00E84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Merge/>
          </w:tcPr>
          <w:p w:rsidR="001D4E8F" w:rsidRPr="001B4BFF" w:rsidRDefault="001D4E8F" w:rsidP="001D4E8F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8" w:type="dxa"/>
            <w:gridSpan w:val="2"/>
            <w:vMerge/>
          </w:tcPr>
          <w:p w:rsidR="001D4E8F" w:rsidRPr="001B4BFF" w:rsidRDefault="001D4E8F" w:rsidP="001D4E8F">
            <w:pPr>
              <w:spacing w:before="60" w:after="60"/>
              <w:rPr>
                <w:sz w:val="18"/>
              </w:rPr>
            </w:pPr>
          </w:p>
        </w:tc>
        <w:tc>
          <w:tcPr>
            <w:tcW w:w="4363" w:type="dxa"/>
            <w:gridSpan w:val="4"/>
            <w:vAlign w:val="center"/>
          </w:tcPr>
          <w:p w:rsidR="001D4E8F" w:rsidRPr="001B4BFF" w:rsidRDefault="001D4E8F" w:rsidP="001D4E8F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See Process &amp; Procedure Bench Card </w:t>
            </w:r>
            <w:r w:rsidR="00A00E65">
              <w:rPr>
                <w:sz w:val="18"/>
              </w:rPr>
              <w:t>15 &amp; 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3" w:type="dxa"/>
            <w:vMerge/>
          </w:tcPr>
          <w:p w:rsidR="001D4E8F" w:rsidRPr="001B4BFF" w:rsidRDefault="001D4E8F" w:rsidP="001D4E8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1D4E8F" w:rsidRPr="00101976" w:rsidTr="00E84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1D4E8F" w:rsidRPr="00A77907" w:rsidRDefault="001D4E8F" w:rsidP="001D4E8F">
            <w:pPr>
              <w:spacing w:before="60" w:after="60"/>
              <w:rPr>
                <w:color w:val="215868" w:themeColor="accent5" w:themeShade="80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>Resources/</w:t>
            </w:r>
          </w:p>
          <w:p w:rsidR="001D4E8F" w:rsidRPr="00555B1E" w:rsidRDefault="001D4E8F" w:rsidP="001D4E8F">
            <w:pPr>
              <w:spacing w:before="60" w:after="60"/>
              <w:rPr>
                <w:color w:val="003366"/>
                <w:sz w:val="18"/>
              </w:rPr>
            </w:pPr>
            <w:r w:rsidRPr="00A77907">
              <w:rPr>
                <w:color w:val="215868" w:themeColor="accent5" w:themeShade="80"/>
                <w:sz w:val="18"/>
              </w:rPr>
              <w:t xml:space="preserve">Technology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11" w:type="dxa"/>
            <w:gridSpan w:val="6"/>
          </w:tcPr>
          <w:p w:rsidR="001D4E8F" w:rsidRPr="00A40F47" w:rsidRDefault="00BC259A" w:rsidP="001D4E8F">
            <w:pPr>
              <w:spacing w:before="60" w:after="60"/>
              <w:rPr>
                <w:sz w:val="18"/>
                <w:szCs w:val="18"/>
              </w:rPr>
            </w:pPr>
            <w:hyperlink r:id="rId10" w:history="1">
              <w:r w:rsidR="001D4E8F" w:rsidRPr="00A40F47">
                <w:rPr>
                  <w:rStyle w:val="Hyperlink"/>
                  <w:sz w:val="18"/>
                  <w:szCs w:val="18"/>
                </w:rPr>
                <w:t>www.WellnessCourts.org</w:t>
              </w:r>
            </w:hyperlink>
            <w:r w:rsidR="001D4E8F" w:rsidRPr="00A40F47">
              <w:rPr>
                <w:sz w:val="18"/>
                <w:szCs w:val="18"/>
              </w:rPr>
              <w:t xml:space="preserve">, </w:t>
            </w:r>
            <w:hyperlink r:id="rId11" w:history="1">
              <w:r w:rsidR="001D4E8F" w:rsidRPr="00A40F47">
                <w:rPr>
                  <w:rStyle w:val="Hyperlink"/>
                  <w:sz w:val="18"/>
                  <w:szCs w:val="18"/>
                </w:rPr>
                <w:t>www.home.tlpi.org</w:t>
              </w:r>
            </w:hyperlink>
            <w:r w:rsidR="001D4E8F" w:rsidRPr="00A40F47">
              <w:rPr>
                <w:sz w:val="18"/>
                <w:szCs w:val="18"/>
              </w:rPr>
              <w:t xml:space="preserve">, </w:t>
            </w:r>
            <w:hyperlink r:id="rId12" w:history="1">
              <w:r w:rsidR="001D4E8F" w:rsidRPr="00A40F47">
                <w:rPr>
                  <w:rStyle w:val="Hyperlink"/>
                  <w:sz w:val="18"/>
                  <w:szCs w:val="18"/>
                </w:rPr>
                <w:t>www.ndci.org</w:t>
              </w:r>
            </w:hyperlink>
            <w:r w:rsidR="001D4E8F" w:rsidRPr="00A40F47">
              <w:rPr>
                <w:sz w:val="18"/>
                <w:szCs w:val="18"/>
              </w:rPr>
              <w:t xml:space="preserve">, </w:t>
            </w:r>
            <w:hyperlink r:id="rId13" w:history="1">
              <w:r w:rsidR="001D4E8F" w:rsidRPr="00A40F47">
                <w:rPr>
                  <w:rStyle w:val="Hyperlink"/>
                  <w:sz w:val="18"/>
                  <w:szCs w:val="18"/>
                </w:rPr>
                <w:t>www.american.edu/spa/jpo/initiatives/drug-court/</w:t>
              </w:r>
            </w:hyperlink>
            <w:r w:rsidR="001D4E8F" w:rsidRPr="00A40F47">
              <w:rPr>
                <w:sz w:val="18"/>
                <w:szCs w:val="18"/>
              </w:rPr>
              <w:t xml:space="preserve"> , </w:t>
            </w:r>
            <w:hyperlink r:id="rId14" w:history="1">
              <w:r w:rsidR="001D4E8F" w:rsidRPr="00A40F47">
                <w:rPr>
                  <w:rStyle w:val="Hyperlink"/>
                  <w:sz w:val="18"/>
                  <w:szCs w:val="18"/>
                </w:rPr>
                <w:t>www.ndcdr.org</w:t>
              </w:r>
            </w:hyperlink>
            <w:r w:rsidR="001D4E8F" w:rsidRPr="00A40F47">
              <w:rPr>
                <w:sz w:val="18"/>
                <w:szCs w:val="18"/>
              </w:rPr>
              <w:t xml:space="preserve">, </w:t>
            </w:r>
            <w:hyperlink r:id="rId15" w:history="1">
              <w:r w:rsidR="001D4E8F" w:rsidRPr="00A40F47">
                <w:rPr>
                  <w:rStyle w:val="Hyperlink"/>
                  <w:sz w:val="18"/>
                  <w:szCs w:val="18"/>
                </w:rPr>
                <w:t>www.drugcourtonline.org</w:t>
              </w:r>
            </w:hyperlink>
            <w:r w:rsidR="001D4E8F" w:rsidRPr="00A40F47">
              <w:rPr>
                <w:sz w:val="18"/>
                <w:szCs w:val="18"/>
              </w:rPr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3" w:type="dxa"/>
          </w:tcPr>
          <w:p w:rsidR="001D4E8F" w:rsidRPr="00A40F47" w:rsidRDefault="001D4E8F" w:rsidP="001D4E8F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1D4E8F" w:rsidRPr="00101976" w:rsidTr="00E84B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0" w:type="dxa"/>
            <w:gridSpan w:val="8"/>
          </w:tcPr>
          <w:p w:rsidR="001D4E8F" w:rsidRPr="00B42764" w:rsidRDefault="00A00E65" w:rsidP="00E84B04">
            <w:pPr>
              <w:jc w:val="right"/>
              <w:rPr>
                <w:b w:val="0"/>
                <w:bCs w:val="0"/>
                <w:sz w:val="16"/>
                <w:szCs w:val="16"/>
              </w:rPr>
            </w:pPr>
            <w:r w:rsidRPr="00454B78">
              <w:rPr>
                <w:sz w:val="16"/>
                <w:szCs w:val="16"/>
              </w:rPr>
              <w:t>“</w:t>
            </w:r>
            <w:r>
              <w:rPr>
                <w:i/>
                <w:sz w:val="16"/>
                <w:szCs w:val="16"/>
              </w:rPr>
              <w:t>Growing up in an Indian community, knowing the people, knowing the community, knowing the problem . . . I think tribal judges are more problem-solvers than, say state judges, I don’t think we have to be law-trained to be problem-solvers. I don’t think we have to be law-trained to be healers. I don’t think we have to be law-trained to administer justice or provide due process.</w:t>
            </w:r>
            <w:r w:rsidRPr="00454B78">
              <w:rPr>
                <w:sz w:val="16"/>
                <w:szCs w:val="16"/>
              </w:rPr>
              <w:t>”</w:t>
            </w:r>
            <w:r>
              <w:rPr>
                <w:sz w:val="14"/>
                <w:szCs w:val="14"/>
              </w:rPr>
              <w:t xml:space="preserve">                                                                                          Hon. Judge D. </w:t>
            </w:r>
            <w:proofErr w:type="spellStart"/>
            <w:r>
              <w:rPr>
                <w:sz w:val="14"/>
                <w:szCs w:val="14"/>
              </w:rPr>
              <w:t>Raach</w:t>
            </w:r>
            <w:proofErr w:type="spellEnd"/>
          </w:p>
        </w:tc>
      </w:tr>
    </w:tbl>
    <w:p w:rsidR="001F0083" w:rsidRPr="00A40F47" w:rsidRDefault="001F0083" w:rsidP="00A40F47">
      <w:pPr>
        <w:tabs>
          <w:tab w:val="left" w:pos="6255"/>
        </w:tabs>
      </w:pPr>
    </w:p>
    <w:sectPr w:rsidR="001F0083" w:rsidRPr="00A40F47" w:rsidSect="00A40F47">
      <w:footerReference w:type="default" r:id="rId16"/>
      <w:endnotePr>
        <w:numFmt w:val="decimal"/>
      </w:endnotePr>
      <w:pgSz w:w="12240" w:h="15840" w:code="1"/>
      <w:pgMar w:top="432" w:right="720" w:bottom="576" w:left="720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9A" w:rsidRDefault="00BC259A">
      <w:pPr>
        <w:spacing w:line="20" w:lineRule="exact"/>
      </w:pPr>
    </w:p>
  </w:endnote>
  <w:endnote w:type="continuationSeparator" w:id="0">
    <w:p w:rsidR="00BC259A" w:rsidRDefault="00BC259A">
      <w:r>
        <w:t xml:space="preserve"> </w:t>
      </w:r>
    </w:p>
  </w:endnote>
  <w:endnote w:type="continuationNotice" w:id="1">
    <w:p w:rsidR="00BC259A" w:rsidRDefault="00BC259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0F" w:rsidRPr="00555B1E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rFonts w:cs="Arial"/>
        <w:b/>
        <w:bCs/>
        <w:sz w:val="16"/>
        <w:szCs w:val="2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9A" w:rsidRDefault="00BC259A">
      <w:r>
        <w:separator/>
      </w:r>
    </w:p>
  </w:footnote>
  <w:footnote w:type="continuationSeparator" w:id="0">
    <w:p w:rsidR="00BC259A" w:rsidRDefault="00BC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3"/>
    <w:rsid w:val="00006252"/>
    <w:rsid w:val="00030C07"/>
    <w:rsid w:val="00050936"/>
    <w:rsid w:val="00057823"/>
    <w:rsid w:val="00061FA8"/>
    <w:rsid w:val="00066A49"/>
    <w:rsid w:val="0007743B"/>
    <w:rsid w:val="00086699"/>
    <w:rsid w:val="00087EF0"/>
    <w:rsid w:val="00091102"/>
    <w:rsid w:val="00091A7D"/>
    <w:rsid w:val="000A55ED"/>
    <w:rsid w:val="000C23E3"/>
    <w:rsid w:val="000C7B8D"/>
    <w:rsid w:val="000C7CE4"/>
    <w:rsid w:val="000E10A6"/>
    <w:rsid w:val="000E2BDD"/>
    <w:rsid w:val="000F01DA"/>
    <w:rsid w:val="00101976"/>
    <w:rsid w:val="00105873"/>
    <w:rsid w:val="00157BA2"/>
    <w:rsid w:val="001603E0"/>
    <w:rsid w:val="00160D02"/>
    <w:rsid w:val="00170982"/>
    <w:rsid w:val="00171494"/>
    <w:rsid w:val="00177B06"/>
    <w:rsid w:val="001B4BFF"/>
    <w:rsid w:val="001C2E9A"/>
    <w:rsid w:val="001D4E8F"/>
    <w:rsid w:val="001F0083"/>
    <w:rsid w:val="002001D7"/>
    <w:rsid w:val="00214811"/>
    <w:rsid w:val="0021500A"/>
    <w:rsid w:val="00227DA1"/>
    <w:rsid w:val="00231183"/>
    <w:rsid w:val="00231CC1"/>
    <w:rsid w:val="00233773"/>
    <w:rsid w:val="002420C0"/>
    <w:rsid w:val="00242B4D"/>
    <w:rsid w:val="0025561E"/>
    <w:rsid w:val="00261371"/>
    <w:rsid w:val="00264F09"/>
    <w:rsid w:val="0027228C"/>
    <w:rsid w:val="002801DB"/>
    <w:rsid w:val="00284167"/>
    <w:rsid w:val="00291C2C"/>
    <w:rsid w:val="002A7D7F"/>
    <w:rsid w:val="002C38EC"/>
    <w:rsid w:val="002D0842"/>
    <w:rsid w:val="002D3E60"/>
    <w:rsid w:val="002F1645"/>
    <w:rsid w:val="002F2DDE"/>
    <w:rsid w:val="0032411C"/>
    <w:rsid w:val="0037031E"/>
    <w:rsid w:val="00371907"/>
    <w:rsid w:val="003855CF"/>
    <w:rsid w:val="003944FC"/>
    <w:rsid w:val="003B0B15"/>
    <w:rsid w:val="003B3A75"/>
    <w:rsid w:val="003C5795"/>
    <w:rsid w:val="003D7BE3"/>
    <w:rsid w:val="003F0DD1"/>
    <w:rsid w:val="003F2F29"/>
    <w:rsid w:val="00401E94"/>
    <w:rsid w:val="00405287"/>
    <w:rsid w:val="0042410B"/>
    <w:rsid w:val="00425E65"/>
    <w:rsid w:val="00426CFE"/>
    <w:rsid w:val="004360A0"/>
    <w:rsid w:val="004446E1"/>
    <w:rsid w:val="00486FCF"/>
    <w:rsid w:val="004B05CD"/>
    <w:rsid w:val="004E14F3"/>
    <w:rsid w:val="004F04DC"/>
    <w:rsid w:val="004F7938"/>
    <w:rsid w:val="005243D9"/>
    <w:rsid w:val="0053784F"/>
    <w:rsid w:val="00547AFC"/>
    <w:rsid w:val="00552199"/>
    <w:rsid w:val="00555B1E"/>
    <w:rsid w:val="00562861"/>
    <w:rsid w:val="00566D24"/>
    <w:rsid w:val="00571E71"/>
    <w:rsid w:val="00572C38"/>
    <w:rsid w:val="005751FE"/>
    <w:rsid w:val="00575DB7"/>
    <w:rsid w:val="0058311A"/>
    <w:rsid w:val="005926BB"/>
    <w:rsid w:val="005A2106"/>
    <w:rsid w:val="005A2DC8"/>
    <w:rsid w:val="005A5AC4"/>
    <w:rsid w:val="005A6D9A"/>
    <w:rsid w:val="005C3FEA"/>
    <w:rsid w:val="005E38EA"/>
    <w:rsid w:val="005E57D2"/>
    <w:rsid w:val="005E7C6C"/>
    <w:rsid w:val="00605726"/>
    <w:rsid w:val="00631E44"/>
    <w:rsid w:val="0063653F"/>
    <w:rsid w:val="0066237E"/>
    <w:rsid w:val="00662887"/>
    <w:rsid w:val="0067005F"/>
    <w:rsid w:val="00673517"/>
    <w:rsid w:val="00673BE2"/>
    <w:rsid w:val="006829BD"/>
    <w:rsid w:val="0069548D"/>
    <w:rsid w:val="00695B71"/>
    <w:rsid w:val="006B4CB6"/>
    <w:rsid w:val="006C11FD"/>
    <w:rsid w:val="006C2B44"/>
    <w:rsid w:val="006C3347"/>
    <w:rsid w:val="006C450D"/>
    <w:rsid w:val="006C46EA"/>
    <w:rsid w:val="006C5D02"/>
    <w:rsid w:val="006C7E48"/>
    <w:rsid w:val="006D1976"/>
    <w:rsid w:val="006E1D97"/>
    <w:rsid w:val="006E28D5"/>
    <w:rsid w:val="006E418F"/>
    <w:rsid w:val="006E63E0"/>
    <w:rsid w:val="006F1C63"/>
    <w:rsid w:val="00704098"/>
    <w:rsid w:val="007109D5"/>
    <w:rsid w:val="00711DDF"/>
    <w:rsid w:val="0073127A"/>
    <w:rsid w:val="00737E0F"/>
    <w:rsid w:val="00747948"/>
    <w:rsid w:val="00752362"/>
    <w:rsid w:val="007528D8"/>
    <w:rsid w:val="00755601"/>
    <w:rsid w:val="007577FD"/>
    <w:rsid w:val="00760830"/>
    <w:rsid w:val="00764501"/>
    <w:rsid w:val="00764D0F"/>
    <w:rsid w:val="00766806"/>
    <w:rsid w:val="00766A7F"/>
    <w:rsid w:val="00790EC5"/>
    <w:rsid w:val="007A07EE"/>
    <w:rsid w:val="007B3757"/>
    <w:rsid w:val="007B6342"/>
    <w:rsid w:val="007C1713"/>
    <w:rsid w:val="007C5EDF"/>
    <w:rsid w:val="007C7DEB"/>
    <w:rsid w:val="007D3CA0"/>
    <w:rsid w:val="007D56A0"/>
    <w:rsid w:val="007F4124"/>
    <w:rsid w:val="007F5C7E"/>
    <w:rsid w:val="007F7287"/>
    <w:rsid w:val="008003FC"/>
    <w:rsid w:val="00804042"/>
    <w:rsid w:val="00804222"/>
    <w:rsid w:val="008055A3"/>
    <w:rsid w:val="00810025"/>
    <w:rsid w:val="00816C43"/>
    <w:rsid w:val="00821EE8"/>
    <w:rsid w:val="0082240F"/>
    <w:rsid w:val="008227AF"/>
    <w:rsid w:val="00845392"/>
    <w:rsid w:val="008621AC"/>
    <w:rsid w:val="00870655"/>
    <w:rsid w:val="008742B5"/>
    <w:rsid w:val="00880140"/>
    <w:rsid w:val="00880194"/>
    <w:rsid w:val="008802FD"/>
    <w:rsid w:val="00896BB1"/>
    <w:rsid w:val="008A17DD"/>
    <w:rsid w:val="008B197D"/>
    <w:rsid w:val="008B3BEA"/>
    <w:rsid w:val="008B4AEE"/>
    <w:rsid w:val="008C2A67"/>
    <w:rsid w:val="008C344F"/>
    <w:rsid w:val="008C450A"/>
    <w:rsid w:val="008E04B7"/>
    <w:rsid w:val="008F33F0"/>
    <w:rsid w:val="0090251E"/>
    <w:rsid w:val="00925751"/>
    <w:rsid w:val="00926506"/>
    <w:rsid w:val="00931509"/>
    <w:rsid w:val="009434C3"/>
    <w:rsid w:val="00954B43"/>
    <w:rsid w:val="00961F99"/>
    <w:rsid w:val="009725E2"/>
    <w:rsid w:val="0097413E"/>
    <w:rsid w:val="009B71C9"/>
    <w:rsid w:val="009B78D9"/>
    <w:rsid w:val="009D294F"/>
    <w:rsid w:val="009D7532"/>
    <w:rsid w:val="009F6677"/>
    <w:rsid w:val="00A000E5"/>
    <w:rsid w:val="00A00E65"/>
    <w:rsid w:val="00A311B5"/>
    <w:rsid w:val="00A350C1"/>
    <w:rsid w:val="00A40F47"/>
    <w:rsid w:val="00A45214"/>
    <w:rsid w:val="00A73F2F"/>
    <w:rsid w:val="00A74E15"/>
    <w:rsid w:val="00A77907"/>
    <w:rsid w:val="00A8266C"/>
    <w:rsid w:val="00A90831"/>
    <w:rsid w:val="00A9726B"/>
    <w:rsid w:val="00AA2E20"/>
    <w:rsid w:val="00AA5B39"/>
    <w:rsid w:val="00AD70EB"/>
    <w:rsid w:val="00AE0581"/>
    <w:rsid w:val="00AE2AEF"/>
    <w:rsid w:val="00AE5F77"/>
    <w:rsid w:val="00B25B9A"/>
    <w:rsid w:val="00B26E15"/>
    <w:rsid w:val="00B40471"/>
    <w:rsid w:val="00B41C89"/>
    <w:rsid w:val="00B42764"/>
    <w:rsid w:val="00B42BFB"/>
    <w:rsid w:val="00B47A5A"/>
    <w:rsid w:val="00B729FF"/>
    <w:rsid w:val="00B75D85"/>
    <w:rsid w:val="00B8575F"/>
    <w:rsid w:val="00BC016E"/>
    <w:rsid w:val="00BC259A"/>
    <w:rsid w:val="00C02B75"/>
    <w:rsid w:val="00C064A9"/>
    <w:rsid w:val="00C07115"/>
    <w:rsid w:val="00C11A7D"/>
    <w:rsid w:val="00C15937"/>
    <w:rsid w:val="00C201B7"/>
    <w:rsid w:val="00C24827"/>
    <w:rsid w:val="00C24C75"/>
    <w:rsid w:val="00C26702"/>
    <w:rsid w:val="00C4555A"/>
    <w:rsid w:val="00C47C4B"/>
    <w:rsid w:val="00C67301"/>
    <w:rsid w:val="00C8457A"/>
    <w:rsid w:val="00C906C9"/>
    <w:rsid w:val="00C96D38"/>
    <w:rsid w:val="00CB2D24"/>
    <w:rsid w:val="00CD59A2"/>
    <w:rsid w:val="00CD6139"/>
    <w:rsid w:val="00CE1F33"/>
    <w:rsid w:val="00CF7CF8"/>
    <w:rsid w:val="00D11668"/>
    <w:rsid w:val="00D1326B"/>
    <w:rsid w:val="00D17B1B"/>
    <w:rsid w:val="00D274C5"/>
    <w:rsid w:val="00D47D02"/>
    <w:rsid w:val="00D52FBD"/>
    <w:rsid w:val="00D61833"/>
    <w:rsid w:val="00D738E1"/>
    <w:rsid w:val="00DE71E4"/>
    <w:rsid w:val="00DF049A"/>
    <w:rsid w:val="00DF4DFD"/>
    <w:rsid w:val="00E007DF"/>
    <w:rsid w:val="00E16CDD"/>
    <w:rsid w:val="00E26413"/>
    <w:rsid w:val="00E3389F"/>
    <w:rsid w:val="00E34EE7"/>
    <w:rsid w:val="00E37F27"/>
    <w:rsid w:val="00E44B9E"/>
    <w:rsid w:val="00E45613"/>
    <w:rsid w:val="00E53CAB"/>
    <w:rsid w:val="00E55A2C"/>
    <w:rsid w:val="00E61914"/>
    <w:rsid w:val="00E83DDC"/>
    <w:rsid w:val="00E84B04"/>
    <w:rsid w:val="00E904D6"/>
    <w:rsid w:val="00E94BFA"/>
    <w:rsid w:val="00EA0BC3"/>
    <w:rsid w:val="00EC6DB2"/>
    <w:rsid w:val="00ED2F19"/>
    <w:rsid w:val="00ED3151"/>
    <w:rsid w:val="00EE1A4B"/>
    <w:rsid w:val="00EE2FFB"/>
    <w:rsid w:val="00EF0F2A"/>
    <w:rsid w:val="00EF54BA"/>
    <w:rsid w:val="00F00309"/>
    <w:rsid w:val="00F16464"/>
    <w:rsid w:val="00F218E7"/>
    <w:rsid w:val="00F33B56"/>
    <w:rsid w:val="00F349A1"/>
    <w:rsid w:val="00F47042"/>
    <w:rsid w:val="00F66E9C"/>
    <w:rsid w:val="00FE1CBD"/>
    <w:rsid w:val="00FE50D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4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8C344F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8C344F"/>
    <w:pPr>
      <w:suppressAutoHyphens/>
      <w:ind w:left="2880" w:hanging="720"/>
    </w:pPr>
  </w:style>
  <w:style w:type="table" w:styleId="TableGrid">
    <w:name w:val="Table Grid"/>
    <w:basedOn w:val="TableNormal"/>
    <w:rsid w:val="008C344F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34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344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C344F"/>
    <w:rPr>
      <w:rFonts w:ascii="Times Roman" w:hAnsi="Times Roman"/>
    </w:rPr>
  </w:style>
  <w:style w:type="paragraph" w:customStyle="1" w:styleId="TemplateBody">
    <w:name w:val="Template Body"/>
    <w:basedOn w:val="Normal"/>
    <w:rsid w:val="008C344F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8C344F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8C344F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8C344F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8C344F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8C344F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0000FF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C2670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4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8C344F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8C344F"/>
    <w:pPr>
      <w:suppressAutoHyphens/>
      <w:ind w:left="2880" w:hanging="720"/>
    </w:pPr>
  </w:style>
  <w:style w:type="table" w:styleId="TableGrid">
    <w:name w:val="Table Grid"/>
    <w:basedOn w:val="TableNormal"/>
    <w:rsid w:val="008C344F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34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344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C344F"/>
    <w:rPr>
      <w:rFonts w:ascii="Times Roman" w:hAnsi="Times Roman"/>
    </w:rPr>
  </w:style>
  <w:style w:type="paragraph" w:customStyle="1" w:styleId="TemplateBody">
    <w:name w:val="Template Body"/>
    <w:basedOn w:val="Normal"/>
    <w:rsid w:val="008C344F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8C344F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8C344F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8C344F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8C344F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8C344F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0000FF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C2670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merican.edu/spa/jpo/initiatives/drug-court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ndc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ome.tlpi.org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drugcourtonline.org" TargetMode="External"/><Relationship Id="rId10" Type="http://schemas.openxmlformats.org/officeDocument/2006/relationships/hyperlink" Target="http://www.WellnessCourts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ndcd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daYada\AppData\Roaming\Microsoft\Templates\TP0300005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3D5-40F2-4872-93ED-3A715B5B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BF039-D962-42C0-A66F-9953ABD7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TP030000510</Template>
  <TotalTime>2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YadaYada</dc:creator>
  <cp:lastModifiedBy>Lauren van Schilfgaarde</cp:lastModifiedBy>
  <cp:revision>3</cp:revision>
  <cp:lastPrinted>2016-03-26T00:33:00Z</cp:lastPrinted>
  <dcterms:created xsi:type="dcterms:W3CDTF">2016-03-27T20:59:00Z</dcterms:created>
  <dcterms:modified xsi:type="dcterms:W3CDTF">2016-04-21T22:40:00Z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TC300005109990</vt:lpwstr>
  </property>
</Properties>
</file>