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7F0BF" w14:textId="77777777" w:rsidR="00B45C77" w:rsidRPr="00BA2D71" w:rsidRDefault="00B45C77" w:rsidP="00CA673B">
      <w:pPr>
        <w:rPr>
          <w:rFonts w:asciiTheme="majorHAnsi" w:hAnsiTheme="majorHAnsi" w:cstheme="majorHAnsi"/>
          <w:szCs w:val="24"/>
        </w:rPr>
      </w:pPr>
      <w:r w:rsidRPr="00BA2D71">
        <w:rPr>
          <w:rFonts w:asciiTheme="majorHAnsi" w:hAnsiTheme="majorHAnsi" w:cstheme="majorHAnsi"/>
          <w:b/>
          <w:szCs w:val="24"/>
        </w:rPr>
        <w:t xml:space="preserve">Sean Bear </w:t>
      </w:r>
      <w:r w:rsidRPr="00BA2D71">
        <w:rPr>
          <w:rFonts w:asciiTheme="majorHAnsi" w:hAnsiTheme="majorHAnsi" w:cstheme="majorHAnsi"/>
          <w:szCs w:val="24"/>
        </w:rPr>
        <w:t>(</w:t>
      </w:r>
      <w:r w:rsidRPr="00BA2D71">
        <w:rPr>
          <w:rFonts w:asciiTheme="majorHAnsi" w:hAnsiTheme="majorHAnsi" w:cstheme="majorHAnsi"/>
          <w:i/>
          <w:szCs w:val="24"/>
        </w:rPr>
        <w:t>Meskwaki Tribal Nation</w:t>
      </w:r>
      <w:r w:rsidRPr="00BA2D71">
        <w:rPr>
          <w:rFonts w:asciiTheme="majorHAnsi" w:hAnsiTheme="majorHAnsi" w:cstheme="majorHAnsi"/>
          <w:szCs w:val="24"/>
        </w:rPr>
        <w:t xml:space="preserve">), </w:t>
      </w:r>
      <w:r w:rsidRPr="00BA2D71">
        <w:rPr>
          <w:rFonts w:asciiTheme="majorHAnsi" w:hAnsiTheme="majorHAnsi" w:cstheme="majorHAnsi"/>
          <w:i/>
          <w:szCs w:val="24"/>
        </w:rPr>
        <w:t>Co-Director, National American Indian and Alaska Native Addiction Technology Transfer Center</w:t>
      </w:r>
    </w:p>
    <w:p w14:paraId="0BEB973F" w14:textId="15CBD79F" w:rsidR="00B45C77" w:rsidRPr="00BA2D71" w:rsidRDefault="00B45C77" w:rsidP="00CA673B">
      <w:pPr>
        <w:rPr>
          <w:rFonts w:asciiTheme="majorHAnsi" w:hAnsiTheme="majorHAnsi" w:cstheme="majorHAnsi"/>
          <w:szCs w:val="24"/>
        </w:rPr>
      </w:pPr>
      <w:r w:rsidRPr="00BA2D71">
        <w:rPr>
          <w:rFonts w:asciiTheme="majorHAnsi" w:hAnsiTheme="majorHAnsi" w:cstheme="majorHAnsi"/>
          <w:szCs w:val="24"/>
        </w:rPr>
        <w:t>Sean, BA, CADC, is a member of the Meskwaki tribe in Tama, Iowa, being an Army veteran of over 9 years of service and served with the 82</w:t>
      </w:r>
      <w:r w:rsidRPr="00BA2D71">
        <w:rPr>
          <w:rFonts w:asciiTheme="majorHAnsi" w:hAnsiTheme="majorHAnsi" w:cstheme="majorHAnsi"/>
          <w:szCs w:val="24"/>
          <w:vertAlign w:val="superscript"/>
        </w:rPr>
        <w:t>nd</w:t>
      </w:r>
      <w:r w:rsidRPr="00BA2D71">
        <w:rPr>
          <w:rFonts w:asciiTheme="majorHAnsi" w:hAnsiTheme="majorHAnsi" w:cstheme="majorHAnsi"/>
          <w:szCs w:val="24"/>
        </w:rPr>
        <w:t xml:space="preserve"> Airborne Division. He has worked as an Administrator/Counselor in EAP, a counselor in adolescent behavioral programs, substance abuse, and in-home family therapy. It has been very rewarding to work with individuals and groups in the areas of Substance abuse, Behavioral, and person/family/social issues. He has had experience in building holistic, Native American based curriculum, and implementation with substance abuse clientele. He graduated from Buena Vista University with a double major in psychology and human services, as well as two years of Graduate school with Drake University’s mental health program.  It is his goal to continue on and receive his Master’s degree. His passion is the life-long education of Spirituality, particularly in Native American Spirituality.</w:t>
      </w:r>
    </w:p>
    <w:p w14:paraId="481BB26C" w14:textId="2B227837" w:rsidR="00B45C77" w:rsidRPr="00BA2D71" w:rsidRDefault="00B45C77" w:rsidP="00CA673B">
      <w:pPr>
        <w:pStyle w:val="NoSpacing"/>
        <w:rPr>
          <w:rFonts w:asciiTheme="majorHAnsi" w:hAnsiTheme="majorHAnsi" w:cstheme="majorHAnsi"/>
          <w:szCs w:val="24"/>
        </w:rPr>
      </w:pPr>
    </w:p>
    <w:p w14:paraId="6D78EACF" w14:textId="77777777" w:rsidR="00A51E75" w:rsidRPr="00BA2D71" w:rsidRDefault="00A51E75" w:rsidP="00A51E75">
      <w:pPr>
        <w:shd w:val="clear" w:color="auto" w:fill="FFFFFF"/>
        <w:rPr>
          <w:rFonts w:asciiTheme="majorHAnsi" w:hAnsiTheme="majorHAnsi" w:cstheme="majorHAnsi"/>
          <w:i/>
          <w:szCs w:val="24"/>
        </w:rPr>
      </w:pPr>
      <w:r w:rsidRPr="00BA2D71">
        <w:rPr>
          <w:rFonts w:asciiTheme="majorHAnsi" w:hAnsiTheme="majorHAnsi" w:cstheme="majorHAnsi"/>
          <w:b/>
          <w:szCs w:val="24"/>
        </w:rPr>
        <w:t>Julie Marie Baldwin</w:t>
      </w:r>
      <w:r w:rsidRPr="00BA2D71">
        <w:rPr>
          <w:rFonts w:asciiTheme="majorHAnsi" w:hAnsiTheme="majorHAnsi" w:cstheme="majorHAnsi"/>
          <w:szCs w:val="24"/>
        </w:rPr>
        <w:t xml:space="preserve">, </w:t>
      </w:r>
      <w:r w:rsidRPr="00BA2D71">
        <w:rPr>
          <w:rFonts w:asciiTheme="majorHAnsi" w:hAnsiTheme="majorHAnsi" w:cstheme="majorHAnsi"/>
          <w:i/>
          <w:szCs w:val="24"/>
        </w:rPr>
        <w:t>Ph.D., Associate Director of Research, School of Public Affairs, American University</w:t>
      </w:r>
    </w:p>
    <w:p w14:paraId="52D4FD5C" w14:textId="77777777" w:rsidR="00A51E75" w:rsidRPr="00BA2D71" w:rsidRDefault="00A51E75" w:rsidP="00A51E75">
      <w:pPr>
        <w:shd w:val="clear" w:color="auto" w:fill="FFFFFF"/>
        <w:rPr>
          <w:rFonts w:asciiTheme="majorHAnsi" w:hAnsiTheme="majorHAnsi" w:cstheme="majorHAnsi"/>
          <w:szCs w:val="24"/>
        </w:rPr>
      </w:pPr>
      <w:r w:rsidRPr="00BA2D71">
        <w:rPr>
          <w:rFonts w:asciiTheme="majorHAnsi" w:hAnsiTheme="majorHAnsi" w:cstheme="majorHAnsi"/>
          <w:szCs w:val="24"/>
        </w:rPr>
        <w:t xml:space="preserve">Julie Marie Baldwin, PhD, is the associate director of research for the Justice Programs Office at American University, a scholar in residence in the Department of Justice, Law &amp; Criminology at American University, and a research professor in the Department of Criminology &amp; Criminal Justice at Missouri State University. She specializes in translational and evaluation research with a focus on treatment courts, substance use and misuse, and subcultures including the military, law enforcement, and gangs. Dr. Baldwin serves a research partner and consultant for a variety of agencies and organizations and has extensive experience conducting multi-site evaluations and national surveys, fostering strong researcher-practitioner partnerships, and working with vulnerable populations, programs, legislatures, agencies, and other researchers. She also serves as editor in chief of Drug Court Review and associate editor of the American Journal of Criminal Justice. Dr. Baldwin is an internationally recognized expert on </w:t>
      </w:r>
      <w:proofErr w:type="gramStart"/>
      <w:r w:rsidRPr="00BA2D71">
        <w:rPr>
          <w:rFonts w:asciiTheme="majorHAnsi" w:hAnsiTheme="majorHAnsi" w:cstheme="majorHAnsi"/>
          <w:szCs w:val="24"/>
        </w:rPr>
        <w:t>veterans</w:t>
      </w:r>
      <w:proofErr w:type="gramEnd"/>
      <w:r w:rsidRPr="00BA2D71">
        <w:rPr>
          <w:rFonts w:asciiTheme="majorHAnsi" w:hAnsiTheme="majorHAnsi" w:cstheme="majorHAnsi"/>
          <w:szCs w:val="24"/>
        </w:rPr>
        <w:t xml:space="preserve"> treatment courts (VTCs) and continues to pioneer VTC research. She disseminates her work to a broad audience through peer-reviewed articles, book chapters, reports, and presentations. Currently, she has four VTC projects funded by the National Institute of Justice, Bureau of Justice Assistance, and National Institute of Corrections. To date, she has visited 46 VTCs across the country and is actively working with 18 programs. Dr. Baldwin is also the co-founder and co-president of the Veterans Treatment Court Research Consortium and editor of the Veterans Justice and Mental Health Newsletter for the National Drug Court Resource Center. Prior to joining American University, Dr. Baldwin was an assistant professor in the Department of Criminology &amp; Criminal Justice at </w:t>
      </w:r>
      <w:r w:rsidRPr="00BA2D71">
        <w:rPr>
          <w:rFonts w:asciiTheme="majorHAnsi" w:hAnsiTheme="majorHAnsi" w:cstheme="majorHAnsi"/>
          <w:szCs w:val="24"/>
        </w:rPr>
        <w:lastRenderedPageBreak/>
        <w:t>Missouri State University (2015-2018) and an assistant professor in the Department of Criminal Justice at the University of Arkansas at Little Rock (2013-2015). She earned her PhD in Criminology, Law &amp; Society from the University of Florida in 2013. Before entering her doctoral program, she was a court analyst for the New York State Supreme Court Appellate Division (2008-2009) and a paralegal and Freedom of Information Law administrator for Appeals Bureau of the Kings County (Brooklyn) District Attorney’s Office (2007-2008). She obtained her MA in Criminal Justice with a specialization in Criminal Law &amp; Procedure from John Jay College of Criminal Justice (2007) and BA in Criminal Justice from the University of North Florida (2004).</w:t>
      </w:r>
    </w:p>
    <w:p w14:paraId="398FFE03" w14:textId="77777777" w:rsidR="00A51E75" w:rsidRPr="00BA2D71" w:rsidRDefault="00A51E75" w:rsidP="00CA673B">
      <w:pPr>
        <w:pStyle w:val="NoSpacing"/>
        <w:rPr>
          <w:rFonts w:asciiTheme="majorHAnsi" w:hAnsiTheme="majorHAnsi" w:cstheme="majorHAnsi"/>
          <w:szCs w:val="24"/>
        </w:rPr>
      </w:pPr>
    </w:p>
    <w:p w14:paraId="3A6E868C" w14:textId="76F38ED7" w:rsidR="00B45C77" w:rsidRPr="00BA2D71" w:rsidRDefault="00B45C77" w:rsidP="00CA673B">
      <w:pPr>
        <w:pStyle w:val="NoSpacing"/>
        <w:rPr>
          <w:rFonts w:asciiTheme="majorHAnsi" w:hAnsiTheme="majorHAnsi" w:cstheme="majorHAnsi"/>
          <w:bCs/>
          <w:i/>
          <w:szCs w:val="24"/>
        </w:rPr>
      </w:pPr>
      <w:r w:rsidRPr="00BA2D71">
        <w:rPr>
          <w:rFonts w:asciiTheme="majorHAnsi" w:hAnsiTheme="majorHAnsi" w:cstheme="majorHAnsi"/>
          <w:b/>
          <w:bCs/>
          <w:szCs w:val="24"/>
        </w:rPr>
        <w:t xml:space="preserve">Ray </w:t>
      </w:r>
      <w:proofErr w:type="spellStart"/>
      <w:r w:rsidRPr="00BA2D71">
        <w:rPr>
          <w:rFonts w:asciiTheme="majorHAnsi" w:hAnsiTheme="majorHAnsi" w:cstheme="majorHAnsi"/>
          <w:b/>
          <w:bCs/>
          <w:szCs w:val="24"/>
        </w:rPr>
        <w:t>Daw</w:t>
      </w:r>
      <w:proofErr w:type="spellEnd"/>
      <w:r w:rsidRPr="00BA2D71">
        <w:rPr>
          <w:rFonts w:asciiTheme="majorHAnsi" w:hAnsiTheme="majorHAnsi" w:cstheme="majorHAnsi"/>
          <w:bCs/>
          <w:i/>
          <w:szCs w:val="24"/>
        </w:rPr>
        <w:t>, (</w:t>
      </w:r>
      <w:proofErr w:type="spellStart"/>
      <w:r w:rsidRPr="00BA2D71">
        <w:rPr>
          <w:rFonts w:asciiTheme="majorHAnsi" w:hAnsiTheme="majorHAnsi" w:cstheme="majorHAnsi"/>
          <w:bCs/>
          <w:i/>
          <w:szCs w:val="24"/>
        </w:rPr>
        <w:t>Diné</w:t>
      </w:r>
      <w:proofErr w:type="spellEnd"/>
      <w:r w:rsidRPr="00BA2D71">
        <w:rPr>
          <w:rFonts w:asciiTheme="majorHAnsi" w:hAnsiTheme="majorHAnsi" w:cstheme="majorHAnsi"/>
          <w:bCs/>
          <w:i/>
          <w:szCs w:val="24"/>
        </w:rPr>
        <w:t>), M.A., Health Administrator</w:t>
      </w:r>
    </w:p>
    <w:p w14:paraId="3B3A22CC" w14:textId="77777777" w:rsidR="00CA673B" w:rsidRPr="00BA2D71" w:rsidRDefault="00B45C77" w:rsidP="00CA673B">
      <w:pPr>
        <w:pStyle w:val="NoSpacing"/>
        <w:rPr>
          <w:rFonts w:asciiTheme="majorHAnsi" w:hAnsiTheme="majorHAnsi" w:cstheme="majorHAnsi"/>
          <w:bCs/>
          <w:szCs w:val="24"/>
        </w:rPr>
      </w:pPr>
      <w:r w:rsidRPr="00BA2D71">
        <w:rPr>
          <w:rFonts w:asciiTheme="majorHAnsi" w:hAnsiTheme="majorHAnsi" w:cstheme="majorHAnsi"/>
          <w:bCs/>
          <w:szCs w:val="24"/>
        </w:rPr>
        <w:t xml:space="preserve">Ray </w:t>
      </w:r>
      <w:proofErr w:type="spellStart"/>
      <w:r w:rsidRPr="00BA2D71">
        <w:rPr>
          <w:rFonts w:asciiTheme="majorHAnsi" w:hAnsiTheme="majorHAnsi" w:cstheme="majorHAnsi"/>
          <w:bCs/>
          <w:szCs w:val="24"/>
        </w:rPr>
        <w:t>Daw</w:t>
      </w:r>
      <w:proofErr w:type="spellEnd"/>
      <w:r w:rsidRPr="00BA2D71">
        <w:rPr>
          <w:rFonts w:asciiTheme="majorHAnsi" w:hAnsiTheme="majorHAnsi" w:cstheme="majorHAnsi"/>
          <w:bCs/>
          <w:szCs w:val="24"/>
        </w:rPr>
        <w:t>, Navajo, is a health administrator in Alaska who has worked with the </w:t>
      </w:r>
      <w:proofErr w:type="spellStart"/>
      <w:r w:rsidR="00A257DB">
        <w:fldChar w:fldCharType="begin"/>
      </w:r>
      <w:r w:rsidR="00A257DB">
        <w:instrText xml:space="preserve"> HYPERLINK "http://historicaltrauma.com/" </w:instrText>
      </w:r>
      <w:r w:rsidR="00A257DB">
        <w:fldChar w:fldCharType="separate"/>
      </w:r>
      <w:r w:rsidRPr="00BA2D71">
        <w:rPr>
          <w:rFonts w:asciiTheme="majorHAnsi" w:hAnsiTheme="majorHAnsi" w:cstheme="majorHAnsi"/>
          <w:szCs w:val="24"/>
        </w:rPr>
        <w:t>Takini</w:t>
      </w:r>
      <w:proofErr w:type="spellEnd"/>
      <w:r w:rsidRPr="00BA2D71">
        <w:rPr>
          <w:rFonts w:asciiTheme="majorHAnsi" w:hAnsiTheme="majorHAnsi" w:cstheme="majorHAnsi"/>
          <w:szCs w:val="24"/>
        </w:rPr>
        <w:t xml:space="preserve"> Network </w:t>
      </w:r>
      <w:r w:rsidR="00A257DB">
        <w:rPr>
          <w:rFonts w:asciiTheme="majorHAnsi" w:hAnsiTheme="majorHAnsi" w:cstheme="majorHAnsi"/>
          <w:szCs w:val="24"/>
        </w:rPr>
        <w:fldChar w:fldCharType="end"/>
      </w:r>
      <w:r w:rsidRPr="00BA2D71">
        <w:rPr>
          <w:rFonts w:asciiTheme="majorHAnsi" w:hAnsiTheme="majorHAnsi" w:cstheme="majorHAnsi"/>
          <w:bCs/>
          <w:szCs w:val="24"/>
        </w:rPr>
        <w:t xml:space="preserve">and Maria Yellow </w:t>
      </w:r>
      <w:r w:rsidRPr="00BA2D71">
        <w:rPr>
          <w:rFonts w:asciiTheme="majorHAnsi" w:hAnsiTheme="majorHAnsi" w:cstheme="majorHAnsi"/>
          <w:szCs w:val="24"/>
        </w:rPr>
        <w:t>Horse Brave Heart using the historical trauma model</w:t>
      </w:r>
      <w:r w:rsidRPr="00BA2D71">
        <w:rPr>
          <w:rFonts w:asciiTheme="majorHAnsi" w:hAnsiTheme="majorHAnsi" w:cstheme="majorHAnsi"/>
          <w:bCs/>
          <w:szCs w:val="24"/>
        </w:rPr>
        <w:t xml:space="preserve"> in trainings and health care to create a better quality of life for Native people. Specialty areas include substance abuse, mental health treatment, criminal justice, health education, program management, grant writing, rural health, needs assessment, and research.</w:t>
      </w:r>
    </w:p>
    <w:p w14:paraId="7FF7BE41" w14:textId="77777777" w:rsidR="00CA673B" w:rsidRPr="00BA2D71" w:rsidRDefault="00CA673B" w:rsidP="00CA673B">
      <w:pPr>
        <w:pStyle w:val="NoSpacing"/>
        <w:rPr>
          <w:rFonts w:asciiTheme="majorHAnsi" w:hAnsiTheme="majorHAnsi" w:cstheme="majorHAnsi"/>
          <w:bCs/>
          <w:szCs w:val="24"/>
        </w:rPr>
      </w:pPr>
    </w:p>
    <w:p w14:paraId="3785EF4C" w14:textId="796353B9" w:rsidR="00CA673B" w:rsidRPr="00BA2D71" w:rsidRDefault="00CA673B" w:rsidP="00CA673B">
      <w:pPr>
        <w:pStyle w:val="NoSpacing"/>
        <w:rPr>
          <w:rFonts w:asciiTheme="majorHAnsi" w:hAnsiTheme="majorHAnsi" w:cstheme="majorHAnsi"/>
          <w:bCs/>
          <w:szCs w:val="24"/>
        </w:rPr>
      </w:pPr>
      <w:r w:rsidRPr="00BA2D71">
        <w:rPr>
          <w:rFonts w:asciiTheme="majorHAnsi" w:hAnsiTheme="majorHAnsi" w:cstheme="majorHAnsi"/>
          <w:b/>
          <w:bCs/>
          <w:szCs w:val="24"/>
        </w:rPr>
        <w:t>Brenda Desmond</w:t>
      </w:r>
      <w:r w:rsidRPr="00BA2D71">
        <w:rPr>
          <w:rFonts w:asciiTheme="majorHAnsi" w:hAnsiTheme="majorHAnsi" w:cstheme="majorHAnsi"/>
          <w:bCs/>
          <w:szCs w:val="24"/>
        </w:rPr>
        <w:t xml:space="preserve">, </w:t>
      </w:r>
      <w:r w:rsidRPr="00BA2D71">
        <w:rPr>
          <w:rFonts w:asciiTheme="majorHAnsi" w:hAnsiTheme="majorHAnsi" w:cstheme="majorHAnsi"/>
          <w:bCs/>
          <w:i/>
          <w:szCs w:val="24"/>
        </w:rPr>
        <w:t>Standing Master of the State of Montana, Fourth Judicial District Court; Chief Justice, Fort Peck Tribal Court of Appeals</w:t>
      </w:r>
    </w:p>
    <w:p w14:paraId="2BD6ABEB" w14:textId="1B1F1893" w:rsidR="00CA673B" w:rsidRPr="00BA2D71" w:rsidRDefault="00CA673B" w:rsidP="00CA673B">
      <w:pPr>
        <w:pStyle w:val="Heading3"/>
        <w:shd w:val="clear" w:color="auto" w:fill="FFFFFF"/>
        <w:spacing w:before="0"/>
        <w:jc w:val="both"/>
        <w:textAlignment w:val="baseline"/>
        <w:rPr>
          <w:rFonts w:eastAsiaTheme="minorHAnsi" w:cstheme="majorHAnsi"/>
          <w:bCs/>
          <w:color w:val="auto"/>
        </w:rPr>
      </w:pPr>
      <w:r w:rsidRPr="00BA2D71">
        <w:rPr>
          <w:rFonts w:eastAsiaTheme="minorHAnsi" w:cstheme="majorHAnsi"/>
          <w:bCs/>
          <w:color w:val="auto"/>
        </w:rPr>
        <w:t>A Montana lawyer for over 25 years, Brenda is a graduate of the State University of New York at Buffalo Law School. Brenda has been a member of the University of Montana School of Law faculty, a court advisor in Crow Tribal Court, a staff attorney for Montana Legal Services, an Associate Appellate Justice with the Confederated Salish and Kootenai Tribal Court of Appeals, and a staff attorney with the Montana Legislative Council. Currently Brenda holds two positions.  She serves as Standing Master of the State of Montana, Fourth Judicial District Court and as Chief Justice of the Fort Peck Tribal Court of Appeals.</w:t>
      </w:r>
    </w:p>
    <w:p w14:paraId="12FE7BDF" w14:textId="0137DEBA" w:rsidR="003B652F" w:rsidRPr="00BA2D71" w:rsidRDefault="003B652F" w:rsidP="003B652F">
      <w:pPr>
        <w:rPr>
          <w:rFonts w:asciiTheme="majorHAnsi" w:hAnsiTheme="majorHAnsi" w:cstheme="majorHAnsi"/>
        </w:rPr>
      </w:pPr>
    </w:p>
    <w:p w14:paraId="5861DB6E" w14:textId="6C07F9C5" w:rsidR="005010F7" w:rsidRPr="005215CE" w:rsidRDefault="005215CE" w:rsidP="005215CE">
      <w:pPr>
        <w:pStyle w:val="NoSpacing"/>
        <w:rPr>
          <w:rFonts w:asciiTheme="majorHAnsi" w:hAnsiTheme="majorHAnsi" w:cstheme="majorHAnsi"/>
        </w:rPr>
      </w:pPr>
      <w:r>
        <w:rPr>
          <w:rFonts w:asciiTheme="majorHAnsi" w:hAnsiTheme="majorHAnsi" w:cstheme="majorHAnsi"/>
          <w:b/>
        </w:rPr>
        <w:t>Kathryn</w:t>
      </w:r>
      <w:r w:rsidR="00CA673B" w:rsidRPr="00BA2D71">
        <w:rPr>
          <w:rFonts w:asciiTheme="majorHAnsi" w:hAnsiTheme="majorHAnsi" w:cstheme="majorHAnsi"/>
          <w:b/>
        </w:rPr>
        <w:t xml:space="preserve"> </w:t>
      </w:r>
      <w:proofErr w:type="spellStart"/>
      <w:r w:rsidR="00CA673B" w:rsidRPr="00BA2D71">
        <w:rPr>
          <w:rFonts w:asciiTheme="majorHAnsi" w:hAnsiTheme="majorHAnsi" w:cstheme="majorHAnsi"/>
          <w:b/>
        </w:rPr>
        <w:t>Hankes</w:t>
      </w:r>
      <w:proofErr w:type="spellEnd"/>
      <w:r w:rsidR="003B652F" w:rsidRPr="00BA2D71">
        <w:rPr>
          <w:rFonts w:asciiTheme="majorHAnsi" w:hAnsiTheme="majorHAnsi" w:cstheme="majorHAnsi"/>
        </w:rPr>
        <w:t xml:space="preserve">, </w:t>
      </w:r>
      <w:r w:rsidR="003B652F" w:rsidRPr="00BA2D71">
        <w:rPr>
          <w:rFonts w:asciiTheme="majorHAnsi" w:hAnsiTheme="majorHAnsi" w:cstheme="majorHAnsi"/>
          <w:i/>
        </w:rPr>
        <w:t>Native American Cultural Coordinator, Montana Eighth Judicial District</w:t>
      </w:r>
      <w:r>
        <w:rPr>
          <w:rFonts w:asciiTheme="majorHAnsi" w:hAnsiTheme="majorHAnsi" w:cstheme="majorHAnsi"/>
          <w:i/>
        </w:rPr>
        <w:br/>
      </w:r>
      <w:r w:rsidRPr="005215CE">
        <w:rPr>
          <w:rFonts w:asciiTheme="majorHAnsi" w:hAnsiTheme="majorHAnsi" w:cstheme="majorHAnsi"/>
          <w:bCs/>
        </w:rPr>
        <w:t xml:space="preserve">Kathryn Ann </w:t>
      </w:r>
      <w:proofErr w:type="spellStart"/>
      <w:r w:rsidRPr="005215CE">
        <w:rPr>
          <w:rFonts w:asciiTheme="majorHAnsi" w:hAnsiTheme="majorHAnsi" w:cstheme="majorHAnsi"/>
          <w:bCs/>
        </w:rPr>
        <w:t>Hankes</w:t>
      </w:r>
      <w:proofErr w:type="spellEnd"/>
      <w:r w:rsidRPr="005215CE">
        <w:rPr>
          <w:rFonts w:asciiTheme="majorHAnsi" w:hAnsiTheme="majorHAnsi" w:cstheme="majorHAnsi"/>
          <w:bCs/>
        </w:rPr>
        <w:t xml:space="preserve"> is currently the cultural coordinator for the 8th Judicial District Court in Great Falls Montana. Kathryn also assists with coordination of the 8th Judicial District Veterans Court. Kathryn has been employed with the State of Montana for 5 years. She began her journey with the State in 2014. Kathryn worked for Department of Corrections as a youth correctional officer at the Youth Transition Center. During her time as a correctional officer Kathryn obtained Public Safety Officer Standards and Training (POST) certification. Kathryn obtained her Bachelor of Science in Criminal Justice with a minor in Community Leadership from Montana State </w:t>
      </w:r>
      <w:r w:rsidRPr="005215CE">
        <w:rPr>
          <w:rFonts w:asciiTheme="majorHAnsi" w:hAnsiTheme="majorHAnsi" w:cstheme="majorHAnsi"/>
          <w:bCs/>
        </w:rPr>
        <w:lastRenderedPageBreak/>
        <w:t>University, Northern. Kathryn has also worked for the Office of Public Assistance and has experience in case management. Kathryn has assisted the 8th Judicial District Court in the implementation of cultural activities that promote healing and wellness. Some of these activities include; drum making, braiding sweet grass, sweat lodges, and beading. Additionally, Kathryn currently facilitates a group in which participants in the late phase of court compile a list of accomplishments to assist them in a positive transition back into the community. In her free time Kathryn enjoys spending time with her family. ​</w:t>
      </w:r>
    </w:p>
    <w:p w14:paraId="7EE3D399" w14:textId="77777777" w:rsidR="005215CE" w:rsidRDefault="005215CE" w:rsidP="005010F7">
      <w:pPr>
        <w:pStyle w:val="NoSpacing"/>
        <w:rPr>
          <w:rFonts w:asciiTheme="majorHAnsi" w:hAnsiTheme="majorHAnsi" w:cstheme="majorHAnsi"/>
          <w:b/>
        </w:rPr>
      </w:pPr>
    </w:p>
    <w:p w14:paraId="2F537A9B" w14:textId="559CE401" w:rsidR="005010F7" w:rsidRPr="00BA2D71" w:rsidRDefault="005010F7" w:rsidP="005010F7">
      <w:pPr>
        <w:pStyle w:val="NoSpacing"/>
        <w:rPr>
          <w:rFonts w:asciiTheme="majorHAnsi" w:hAnsiTheme="majorHAnsi" w:cstheme="majorHAnsi"/>
          <w:i/>
        </w:rPr>
      </w:pPr>
      <w:r w:rsidRPr="00BA2D71">
        <w:rPr>
          <w:rFonts w:asciiTheme="majorHAnsi" w:hAnsiTheme="majorHAnsi" w:cstheme="majorHAnsi"/>
          <w:b/>
        </w:rPr>
        <w:t xml:space="preserve">Carolyn Hardin, </w:t>
      </w:r>
      <w:r w:rsidRPr="00BA2D71">
        <w:rPr>
          <w:rFonts w:asciiTheme="majorHAnsi" w:hAnsiTheme="majorHAnsi" w:cstheme="majorHAnsi"/>
          <w:i/>
        </w:rPr>
        <w:t>Chief of Training and Research, National Association of Drug Court Professionals</w:t>
      </w:r>
    </w:p>
    <w:p w14:paraId="5673C808"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Carolyn Hardin is the Chief of Training and Research with the National Association of Drug</w:t>
      </w:r>
    </w:p>
    <w:p w14:paraId="32CDC754"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Court Professionals. Ms. Hardin oversees the daily operations for NADCP’s three divisions:</w:t>
      </w:r>
    </w:p>
    <w:p w14:paraId="1B64B4FD"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 xml:space="preserve">National Drug Court Institute, National Center for DWI Courts, and Justice </w:t>
      </w:r>
      <w:proofErr w:type="gramStart"/>
      <w:r w:rsidRPr="00BA2D71">
        <w:rPr>
          <w:rFonts w:asciiTheme="majorHAnsi" w:hAnsiTheme="majorHAnsi" w:cstheme="majorHAnsi"/>
        </w:rPr>
        <w:t>For</w:t>
      </w:r>
      <w:proofErr w:type="gramEnd"/>
      <w:r w:rsidRPr="00BA2D71">
        <w:rPr>
          <w:rFonts w:asciiTheme="majorHAnsi" w:hAnsiTheme="majorHAnsi" w:cstheme="majorHAnsi"/>
        </w:rPr>
        <w:t xml:space="preserve"> Vets. The</w:t>
      </w:r>
    </w:p>
    <w:p w14:paraId="01800EBA"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National Association of Drug Court Professionals (NADCP) is a non-governmental organization</w:t>
      </w:r>
    </w:p>
    <w:p w14:paraId="28C1AD9E"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(NGO) based in Washington, D.C. Ms. Hardin oversees the development and implementation of</w:t>
      </w:r>
    </w:p>
    <w:p w14:paraId="292E5B25"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training for the Organization. She currently travels nationally and internationally, assisting drug</w:t>
      </w:r>
    </w:p>
    <w:p w14:paraId="726B6A20"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court teams with planning and operating successful drug court. She received her Master’s</w:t>
      </w:r>
    </w:p>
    <w:p w14:paraId="1DD3415B"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Degree in Public Administration from the University of Akron in Ohio. She received her</w:t>
      </w:r>
    </w:p>
    <w:p w14:paraId="4C7EF555"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 xml:space="preserve">Bachelors of Arts Degree in Public Administration from Talladega College in Talladega, Alabama. </w:t>
      </w:r>
    </w:p>
    <w:p w14:paraId="3D969D57"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Her work experience includes resource development and acquisition, program planning and</w:t>
      </w:r>
    </w:p>
    <w:p w14:paraId="561ED5D1"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evaluation, and MIS database manager. Ms. Hardin has supervised probationers, parolee’s, and</w:t>
      </w:r>
    </w:p>
    <w:p w14:paraId="77FD8A24"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federal inmates. She has supervised special caseloads to include sex offenders, dual-diagnosis</w:t>
      </w:r>
    </w:p>
    <w:p w14:paraId="54A97167" w14:textId="77777777" w:rsidR="005010F7" w:rsidRPr="00BA2D71" w:rsidRDefault="005010F7" w:rsidP="005010F7">
      <w:pPr>
        <w:pStyle w:val="NoSpacing"/>
        <w:rPr>
          <w:rFonts w:asciiTheme="majorHAnsi" w:hAnsiTheme="majorHAnsi" w:cstheme="majorHAnsi"/>
        </w:rPr>
      </w:pPr>
      <w:r w:rsidRPr="00BA2D71">
        <w:rPr>
          <w:rFonts w:asciiTheme="majorHAnsi" w:hAnsiTheme="majorHAnsi" w:cstheme="majorHAnsi"/>
        </w:rPr>
        <w:t>offenders and violent offenders.</w:t>
      </w:r>
    </w:p>
    <w:p w14:paraId="3A1BCF04" w14:textId="77777777" w:rsidR="005010F7" w:rsidRPr="00BA2D71" w:rsidRDefault="005010F7" w:rsidP="005010F7">
      <w:pPr>
        <w:pStyle w:val="NoSpacing"/>
        <w:rPr>
          <w:rFonts w:asciiTheme="majorHAnsi" w:hAnsiTheme="majorHAnsi" w:cstheme="majorHAnsi"/>
        </w:rPr>
      </w:pPr>
    </w:p>
    <w:p w14:paraId="0C36BC16" w14:textId="23967D61" w:rsidR="00BA2D71" w:rsidRDefault="00BA2D71" w:rsidP="00CA673B">
      <w:pPr>
        <w:pStyle w:val="NoSpacing"/>
        <w:rPr>
          <w:rFonts w:asciiTheme="majorHAnsi" w:hAnsiTheme="majorHAnsi" w:cstheme="majorHAnsi"/>
        </w:rPr>
      </w:pPr>
      <w:r w:rsidRPr="00BA2D71">
        <w:rPr>
          <w:rFonts w:asciiTheme="majorHAnsi" w:hAnsiTheme="majorHAnsi" w:cstheme="majorHAnsi"/>
          <w:b/>
        </w:rPr>
        <w:t>Wes</w:t>
      </w:r>
      <w:r w:rsidR="0029108C">
        <w:rPr>
          <w:rFonts w:asciiTheme="majorHAnsi" w:hAnsiTheme="majorHAnsi" w:cstheme="majorHAnsi"/>
          <w:b/>
        </w:rPr>
        <w:t>ley</w:t>
      </w:r>
      <w:r w:rsidRPr="00BA2D71">
        <w:rPr>
          <w:rFonts w:asciiTheme="majorHAnsi" w:hAnsiTheme="majorHAnsi" w:cstheme="majorHAnsi"/>
          <w:b/>
        </w:rPr>
        <w:t xml:space="preserve"> </w:t>
      </w:r>
      <w:r w:rsidR="0029108C">
        <w:rPr>
          <w:rFonts w:asciiTheme="majorHAnsi" w:hAnsiTheme="majorHAnsi" w:cstheme="majorHAnsi"/>
          <w:b/>
        </w:rPr>
        <w:t xml:space="preserve">L. </w:t>
      </w:r>
      <w:r w:rsidRPr="00BA2D71">
        <w:rPr>
          <w:rFonts w:asciiTheme="majorHAnsi" w:hAnsiTheme="majorHAnsi" w:cstheme="majorHAnsi"/>
          <w:b/>
        </w:rPr>
        <w:t>Old Coyote</w:t>
      </w:r>
      <w:r w:rsidR="0029108C">
        <w:rPr>
          <w:rFonts w:asciiTheme="majorHAnsi" w:hAnsiTheme="majorHAnsi" w:cstheme="majorHAnsi"/>
          <w:b/>
        </w:rPr>
        <w:t xml:space="preserve"> </w:t>
      </w:r>
      <w:r w:rsidR="0029108C" w:rsidRPr="0029108C">
        <w:rPr>
          <w:rFonts w:asciiTheme="majorHAnsi" w:hAnsiTheme="majorHAnsi" w:cstheme="majorHAnsi"/>
        </w:rPr>
        <w:t>(</w:t>
      </w:r>
      <w:r w:rsidR="0029108C" w:rsidRPr="0029108C">
        <w:rPr>
          <w:rFonts w:asciiTheme="majorHAnsi" w:hAnsiTheme="majorHAnsi" w:cstheme="majorHAnsi"/>
          <w:i/>
        </w:rPr>
        <w:t>Crow and Chickahominy),</w:t>
      </w:r>
      <w:r w:rsidRPr="00BA2D71">
        <w:rPr>
          <w:rFonts w:asciiTheme="majorHAnsi" w:hAnsiTheme="majorHAnsi" w:cstheme="majorHAnsi"/>
        </w:rPr>
        <w:t xml:space="preserve"> </w:t>
      </w:r>
      <w:r w:rsidRPr="0029108C">
        <w:rPr>
          <w:rFonts w:asciiTheme="majorHAnsi" w:hAnsiTheme="majorHAnsi" w:cstheme="majorHAnsi"/>
          <w:i/>
        </w:rPr>
        <w:t>Executive Director, Indian Family Health Clinic, Great Falls, MT</w:t>
      </w:r>
    </w:p>
    <w:p w14:paraId="372EB99F" w14:textId="7719D1F7" w:rsidR="0029108C" w:rsidRPr="0029108C" w:rsidRDefault="0029108C" w:rsidP="0029108C">
      <w:pPr>
        <w:jc w:val="both"/>
        <w:rPr>
          <w:rFonts w:asciiTheme="majorHAnsi" w:hAnsiTheme="majorHAnsi" w:cstheme="majorHAnsi"/>
        </w:rPr>
      </w:pPr>
      <w:r w:rsidRPr="0029108C">
        <w:rPr>
          <w:rFonts w:asciiTheme="majorHAnsi" w:hAnsiTheme="majorHAnsi" w:cstheme="majorHAnsi"/>
        </w:rPr>
        <w:t>Wesley (Wes) Old Coyote</w:t>
      </w:r>
      <w:r>
        <w:rPr>
          <w:rFonts w:asciiTheme="majorHAnsi" w:hAnsiTheme="majorHAnsi" w:cstheme="majorHAnsi"/>
        </w:rPr>
        <w:t xml:space="preserve"> </w:t>
      </w:r>
      <w:r w:rsidRPr="0029108C">
        <w:rPr>
          <w:rFonts w:asciiTheme="majorHAnsi" w:hAnsiTheme="majorHAnsi" w:cstheme="majorHAnsi"/>
        </w:rPr>
        <w:t xml:space="preserve">is a US Navy combat veteran and Native Montanan has over 30 years of experience in healthcare, program management, quality management, enterprise architecture and strategic planning. Prior to this most recent IFHC role, Wes worked in Federal Service for the Health &amp; Human Services (HHS)/Indian Health Service (IHS) in multiple leadership roles, as well as USDA in Washington D.C. Previous to his return to Federal service, Mr. Old Coyote served as the Enterprise Operations Officer/Chief Technology Officer for the State of MT, SITSD. Mr. Old Coyote began his technology career in the U.S. Navy, working with the Tomahawk Cruise Missile systems, Command and Control Information Systems. He made numerous deployments to the Persian Gulf/Southwest Asia regions in support of Operations Desert Shield, Desert Storm, Southern </w:t>
      </w:r>
      <w:r w:rsidRPr="0029108C">
        <w:rPr>
          <w:rFonts w:asciiTheme="majorHAnsi" w:hAnsiTheme="majorHAnsi" w:cstheme="majorHAnsi"/>
        </w:rPr>
        <w:lastRenderedPageBreak/>
        <w:t xml:space="preserve">Watch, Desert Strike and Desert Fox, onboard US Naval combatants and Aircraft Carriers (USS </w:t>
      </w:r>
      <w:proofErr w:type="spellStart"/>
      <w:r w:rsidRPr="0029108C">
        <w:rPr>
          <w:rFonts w:asciiTheme="majorHAnsi" w:hAnsiTheme="majorHAnsi" w:cstheme="majorHAnsi"/>
        </w:rPr>
        <w:t>Leftwich</w:t>
      </w:r>
      <w:proofErr w:type="spellEnd"/>
      <w:r w:rsidRPr="0029108C">
        <w:rPr>
          <w:rFonts w:asciiTheme="majorHAnsi" w:hAnsiTheme="majorHAnsi" w:cstheme="majorHAnsi"/>
        </w:rPr>
        <w:t xml:space="preserve">, USS Abraham Lincoln and USS Kitty Hawk). He has also served at the Naval Surface Weapons Systems Engineering Station, Naval Surface Warfare Center, Fleet Combat Training Center, Navy &amp; Marine Corps Intelligence Center, Afloat Planning Systems Pacific and US </w:t>
      </w:r>
      <w:proofErr w:type="spellStart"/>
      <w:r w:rsidRPr="0029108C">
        <w:rPr>
          <w:rFonts w:asciiTheme="majorHAnsi" w:hAnsiTheme="majorHAnsi" w:cstheme="majorHAnsi"/>
        </w:rPr>
        <w:t>CinC</w:t>
      </w:r>
      <w:proofErr w:type="spellEnd"/>
      <w:r w:rsidRPr="0029108C">
        <w:rPr>
          <w:rFonts w:asciiTheme="majorHAnsi" w:hAnsiTheme="majorHAnsi" w:cstheme="majorHAnsi"/>
        </w:rPr>
        <w:t xml:space="preserve"> Pacific/Camp HM Smith. Wes holds a B.S. in Business Administration and holds certifications as a Project Management Professional (PMP), Certified Enterprise Architect (CEA-FEAF II), </w:t>
      </w:r>
      <w:proofErr w:type="spellStart"/>
      <w:r w:rsidRPr="0029108C">
        <w:rPr>
          <w:rFonts w:asciiTheme="majorHAnsi" w:hAnsiTheme="majorHAnsi" w:cstheme="majorHAnsi"/>
        </w:rPr>
        <w:t>Zachman</w:t>
      </w:r>
      <w:proofErr w:type="spellEnd"/>
      <w:r w:rsidRPr="0029108C">
        <w:rPr>
          <w:rFonts w:asciiTheme="majorHAnsi" w:hAnsiTheme="majorHAnsi" w:cstheme="majorHAnsi"/>
        </w:rPr>
        <w:t xml:space="preserve"> Certified Enterprise Architect (ZCEA) and numerous US Navy certifications. Wes is of Crow (enrolled) and Chickahominy decent. Wes and his wife Mary Lynne (Chippewa-Cree - enrolled), enjoy hiking, spending time with their dogs and horses.</w:t>
      </w:r>
    </w:p>
    <w:p w14:paraId="564615E9" w14:textId="77777777" w:rsidR="00BA2D71" w:rsidRPr="00BA2D71" w:rsidRDefault="00BA2D71" w:rsidP="00CA673B">
      <w:pPr>
        <w:pStyle w:val="NoSpacing"/>
        <w:rPr>
          <w:rFonts w:asciiTheme="majorHAnsi" w:hAnsiTheme="majorHAnsi" w:cstheme="majorHAnsi"/>
          <w:bCs/>
          <w:szCs w:val="24"/>
        </w:rPr>
      </w:pPr>
    </w:p>
    <w:p w14:paraId="55FD9EA1" w14:textId="77777777" w:rsidR="00CA673B" w:rsidRPr="00BA2D71" w:rsidRDefault="00CA673B" w:rsidP="00CA673B">
      <w:pPr>
        <w:rPr>
          <w:rFonts w:asciiTheme="majorHAnsi" w:hAnsiTheme="majorHAnsi" w:cstheme="majorHAnsi"/>
          <w:i/>
          <w:szCs w:val="24"/>
        </w:rPr>
      </w:pPr>
      <w:r w:rsidRPr="00BA2D71">
        <w:rPr>
          <w:rFonts w:asciiTheme="majorHAnsi" w:hAnsiTheme="majorHAnsi" w:cstheme="majorHAnsi"/>
          <w:b/>
          <w:szCs w:val="24"/>
        </w:rPr>
        <w:t>Kristina Pacheco</w:t>
      </w:r>
      <w:r w:rsidRPr="00BA2D71">
        <w:rPr>
          <w:rFonts w:asciiTheme="majorHAnsi" w:hAnsiTheme="majorHAnsi" w:cstheme="majorHAnsi"/>
          <w:szCs w:val="24"/>
        </w:rPr>
        <w:t xml:space="preserve"> (</w:t>
      </w:r>
      <w:r w:rsidRPr="00BA2D71">
        <w:rPr>
          <w:rFonts w:asciiTheme="majorHAnsi" w:hAnsiTheme="majorHAnsi" w:cstheme="majorHAnsi"/>
          <w:i/>
          <w:szCs w:val="24"/>
        </w:rPr>
        <w:t>Pueblo of Laguna</w:t>
      </w:r>
      <w:r w:rsidRPr="00BA2D71">
        <w:rPr>
          <w:rFonts w:asciiTheme="majorHAnsi" w:hAnsiTheme="majorHAnsi" w:cstheme="majorHAnsi"/>
          <w:szCs w:val="24"/>
        </w:rPr>
        <w:t xml:space="preserve">), </w:t>
      </w:r>
      <w:r w:rsidRPr="00BA2D71">
        <w:rPr>
          <w:rFonts w:asciiTheme="majorHAnsi" w:hAnsiTheme="majorHAnsi" w:cstheme="majorHAnsi"/>
          <w:i/>
          <w:szCs w:val="24"/>
        </w:rPr>
        <w:t>Tribal Wellness Specialist, Tribal Law and Policy Institute</w:t>
      </w:r>
    </w:p>
    <w:p w14:paraId="7DBB7860" w14:textId="77777777" w:rsidR="00CA673B" w:rsidRPr="00BA2D71" w:rsidRDefault="00CA673B" w:rsidP="00CA673B">
      <w:pPr>
        <w:rPr>
          <w:rFonts w:asciiTheme="majorHAnsi" w:hAnsiTheme="majorHAnsi" w:cstheme="majorHAnsi"/>
          <w:szCs w:val="24"/>
        </w:rPr>
      </w:pPr>
      <w:r w:rsidRPr="00BA2D71">
        <w:rPr>
          <w:rFonts w:asciiTheme="majorHAnsi" w:hAnsiTheme="majorHAnsi" w:cstheme="majorHAnsi"/>
          <w:szCs w:val="24"/>
        </w:rPr>
        <w:t xml:space="preserve">Kristina Pacheco, serves as Tribal Wellness Specialist and is an enrolled member of the Pueblo of Laguna, and resides in the village of </w:t>
      </w:r>
      <w:proofErr w:type="spellStart"/>
      <w:r w:rsidRPr="00BA2D71">
        <w:rPr>
          <w:rFonts w:asciiTheme="majorHAnsi" w:hAnsiTheme="majorHAnsi" w:cstheme="majorHAnsi"/>
          <w:szCs w:val="24"/>
        </w:rPr>
        <w:t>Paraje</w:t>
      </w:r>
      <w:proofErr w:type="spellEnd"/>
      <w:r w:rsidRPr="00BA2D71">
        <w:rPr>
          <w:rFonts w:asciiTheme="majorHAnsi" w:hAnsiTheme="majorHAnsi" w:cstheme="majorHAnsi"/>
          <w:szCs w:val="24"/>
        </w:rPr>
        <w:t>/Casa Blanca, NM. She is a licensed alcohol and drug abuse counselor in the state of NM and has over 20 years of experience in the field of substance abuse treatment and prevention. Prior to joining TLPI, she worked for the Pueblo of Laguna for 14 years; as a Supervising Probation Officer (2004-2010), Lead Counselor (2010-2014) and Behavioral Health Program Manager (2014-2019). In 2007, Kristina and the staff of the tribal court began the Pueblo of Laguna Healing to Wellness Court (HTWC). The HTWC was granted Mentor Court Status in 2017 by the National Association of Drug Court Professionals Drug Court Initiatives. Kristina also provided training and technical assistance to other Native communities as a consultant. Kristina is the mother of one son, an adopted daughter and a grandmother.</w:t>
      </w:r>
    </w:p>
    <w:p w14:paraId="77D70E8A" w14:textId="4B3A9F70" w:rsidR="005010F7" w:rsidRPr="00BA2D71" w:rsidRDefault="005010F7" w:rsidP="00CA673B">
      <w:pPr>
        <w:pStyle w:val="NoSpacing"/>
        <w:rPr>
          <w:rFonts w:asciiTheme="majorHAnsi" w:hAnsiTheme="majorHAnsi" w:cstheme="majorHAnsi"/>
          <w:bCs/>
          <w:szCs w:val="24"/>
        </w:rPr>
      </w:pPr>
    </w:p>
    <w:p w14:paraId="230366E1" w14:textId="76395152" w:rsidR="005010F7" w:rsidRPr="00BA2D71" w:rsidRDefault="005010F7" w:rsidP="00CA673B">
      <w:pPr>
        <w:pStyle w:val="NoSpacing"/>
        <w:rPr>
          <w:rFonts w:asciiTheme="majorHAnsi" w:hAnsiTheme="majorHAnsi" w:cstheme="majorHAnsi"/>
          <w:bCs/>
          <w:i/>
          <w:szCs w:val="24"/>
        </w:rPr>
      </w:pPr>
      <w:r w:rsidRPr="00BA2D71">
        <w:rPr>
          <w:rFonts w:asciiTheme="majorHAnsi" w:hAnsiTheme="majorHAnsi" w:cstheme="majorHAnsi"/>
          <w:b/>
          <w:bCs/>
          <w:szCs w:val="24"/>
        </w:rPr>
        <w:t>David Pelletier</w:t>
      </w:r>
      <w:r w:rsidRPr="00BA2D71">
        <w:rPr>
          <w:rFonts w:asciiTheme="majorHAnsi" w:hAnsiTheme="majorHAnsi" w:cstheme="majorHAnsi"/>
          <w:bCs/>
          <w:szCs w:val="24"/>
        </w:rPr>
        <w:t xml:space="preserve">, </w:t>
      </w:r>
      <w:r w:rsidRPr="00BA2D71">
        <w:rPr>
          <w:rFonts w:asciiTheme="majorHAnsi" w:hAnsiTheme="majorHAnsi" w:cstheme="majorHAnsi"/>
          <w:bCs/>
          <w:i/>
          <w:szCs w:val="24"/>
        </w:rPr>
        <w:t>Project Director, Veterans Treatment Court Planning Initiative, National Association of Drug Court Professionals</w:t>
      </w:r>
    </w:p>
    <w:p w14:paraId="41EAE714" w14:textId="77777777" w:rsidR="005010F7" w:rsidRPr="00BA2D71" w:rsidRDefault="005010F7" w:rsidP="005010F7">
      <w:pPr>
        <w:pStyle w:val="NoSpacing"/>
        <w:rPr>
          <w:rFonts w:asciiTheme="majorHAnsi" w:hAnsiTheme="majorHAnsi" w:cstheme="majorHAnsi"/>
          <w:bCs/>
          <w:szCs w:val="24"/>
        </w:rPr>
      </w:pPr>
      <w:r w:rsidRPr="00BA2D71">
        <w:rPr>
          <w:rFonts w:asciiTheme="majorHAnsi" w:hAnsiTheme="majorHAnsi" w:cstheme="majorHAnsi"/>
          <w:bCs/>
          <w:szCs w:val="24"/>
        </w:rPr>
        <w:t>David Pelletier is a Marine Corps veteran who served primarily as a Legal Service Specialist with a</w:t>
      </w:r>
    </w:p>
    <w:p w14:paraId="6905BF1D" w14:textId="5D15FCC5" w:rsidR="005010F7" w:rsidRPr="00BA2D71" w:rsidRDefault="005010F7" w:rsidP="005010F7">
      <w:pPr>
        <w:pStyle w:val="NoSpacing"/>
        <w:rPr>
          <w:rFonts w:asciiTheme="majorHAnsi" w:hAnsiTheme="majorHAnsi" w:cstheme="majorHAnsi"/>
          <w:bCs/>
          <w:szCs w:val="24"/>
        </w:rPr>
      </w:pPr>
      <w:r w:rsidRPr="00BA2D71">
        <w:rPr>
          <w:rFonts w:asciiTheme="majorHAnsi" w:hAnsiTheme="majorHAnsi" w:cstheme="majorHAnsi"/>
          <w:bCs/>
          <w:szCs w:val="24"/>
        </w:rPr>
        <w:t xml:space="preserve">secondary role as a marksmanship instructor. Presently, Mr. Pelletier is the Project Director for the Veterans Treatment Court Planning Initiative at the National Association of Drug Court Professionals (NADCP), responsible for assisting jurisdictions in the planning and implementation of </w:t>
      </w:r>
      <w:proofErr w:type="gramStart"/>
      <w:r w:rsidRPr="00BA2D71">
        <w:rPr>
          <w:rFonts w:asciiTheme="majorHAnsi" w:hAnsiTheme="majorHAnsi" w:cstheme="majorHAnsi"/>
          <w:bCs/>
          <w:szCs w:val="24"/>
        </w:rPr>
        <w:t>veterans</w:t>
      </w:r>
      <w:proofErr w:type="gramEnd"/>
      <w:r w:rsidRPr="00BA2D71">
        <w:rPr>
          <w:rFonts w:asciiTheme="majorHAnsi" w:hAnsiTheme="majorHAnsi" w:cstheme="majorHAnsi"/>
          <w:bCs/>
          <w:szCs w:val="24"/>
        </w:rPr>
        <w:t xml:space="preserve"> treatment courts. Mr. Pelletier also oversees the Veteran Mentor training coordinating and facilitating Boot Camps across the country.  Mr. Pelletier received his Juris Doctor from Washington and Lee University School of Law and is an admitted member of the Virginia State Bar. He received his Bachelors of Arts Degree in History with a minor in Legal Studies from George Mason University in Fairfax, Virginia. His work experience is criminal defense, serving as a student attorney in Washington and Lee’s Criminal Justice Clinic, and </w:t>
      </w:r>
      <w:r w:rsidRPr="00BA2D71">
        <w:rPr>
          <w:rFonts w:asciiTheme="majorHAnsi" w:hAnsiTheme="majorHAnsi" w:cstheme="majorHAnsi"/>
          <w:bCs/>
          <w:szCs w:val="24"/>
        </w:rPr>
        <w:lastRenderedPageBreak/>
        <w:t xml:space="preserve">interning with the Fairfax County Public Defender Office. Prior to joining Justice </w:t>
      </w:r>
      <w:proofErr w:type="gramStart"/>
      <w:r w:rsidRPr="00BA2D71">
        <w:rPr>
          <w:rFonts w:asciiTheme="majorHAnsi" w:hAnsiTheme="majorHAnsi" w:cstheme="majorHAnsi"/>
          <w:bCs/>
          <w:szCs w:val="24"/>
        </w:rPr>
        <w:t>For</w:t>
      </w:r>
      <w:proofErr w:type="gramEnd"/>
      <w:r w:rsidRPr="00BA2D71">
        <w:rPr>
          <w:rFonts w:asciiTheme="majorHAnsi" w:hAnsiTheme="majorHAnsi" w:cstheme="majorHAnsi"/>
          <w:bCs/>
          <w:szCs w:val="24"/>
        </w:rPr>
        <w:t xml:space="preserve"> Vets he was a Volunteer Attorney and Fellow at the Arlington Public Defender Office handling</w:t>
      </w:r>
    </w:p>
    <w:p w14:paraId="7DAE37F1" w14:textId="1C81A928" w:rsidR="005010F7" w:rsidRPr="00BA2D71" w:rsidRDefault="005010F7" w:rsidP="005010F7">
      <w:pPr>
        <w:pStyle w:val="NoSpacing"/>
        <w:rPr>
          <w:rFonts w:asciiTheme="majorHAnsi" w:hAnsiTheme="majorHAnsi" w:cstheme="majorHAnsi"/>
          <w:bCs/>
          <w:szCs w:val="24"/>
        </w:rPr>
      </w:pPr>
      <w:r w:rsidRPr="00BA2D71">
        <w:rPr>
          <w:rFonts w:asciiTheme="majorHAnsi" w:hAnsiTheme="majorHAnsi" w:cstheme="majorHAnsi"/>
          <w:bCs/>
          <w:szCs w:val="24"/>
        </w:rPr>
        <w:t xml:space="preserve">misdemeanor cases.  </w:t>
      </w:r>
    </w:p>
    <w:p w14:paraId="12725105" w14:textId="3A66328E" w:rsidR="00CA673B" w:rsidRPr="00BA2D71" w:rsidRDefault="00CA673B" w:rsidP="00CA673B">
      <w:pPr>
        <w:pStyle w:val="NoSpacing"/>
        <w:rPr>
          <w:rFonts w:asciiTheme="majorHAnsi" w:hAnsiTheme="majorHAnsi" w:cstheme="majorHAnsi"/>
          <w:i/>
          <w:szCs w:val="24"/>
        </w:rPr>
      </w:pPr>
      <w:r w:rsidRPr="00BA2D71">
        <w:rPr>
          <w:rFonts w:asciiTheme="majorHAnsi" w:hAnsiTheme="majorHAnsi" w:cstheme="majorHAnsi"/>
          <w:bCs/>
          <w:szCs w:val="24"/>
        </w:rPr>
        <w:br/>
      </w:r>
      <w:r w:rsidRPr="00BA2D71">
        <w:rPr>
          <w:rFonts w:asciiTheme="majorHAnsi" w:hAnsiTheme="majorHAnsi" w:cstheme="majorHAnsi"/>
          <w:b/>
        </w:rPr>
        <w:t>Hon. Gregory Pinski</w:t>
      </w:r>
      <w:r w:rsidRPr="00BA2D71">
        <w:rPr>
          <w:rFonts w:asciiTheme="majorHAnsi" w:hAnsiTheme="majorHAnsi" w:cstheme="majorHAnsi"/>
        </w:rPr>
        <w:t xml:space="preserve">, </w:t>
      </w:r>
      <w:r w:rsidRPr="00BA2D71">
        <w:rPr>
          <w:rFonts w:asciiTheme="majorHAnsi" w:hAnsiTheme="majorHAnsi" w:cstheme="majorHAnsi"/>
          <w:i/>
        </w:rPr>
        <w:t>District Judge, Montana Eighth Judicial District</w:t>
      </w:r>
    </w:p>
    <w:p w14:paraId="7111F4C0" w14:textId="4E121ECE" w:rsidR="00741846" w:rsidRDefault="00CA673B" w:rsidP="00741846">
      <w:pPr>
        <w:pStyle w:val="NormalWeb"/>
        <w:spacing w:before="0" w:beforeAutospacing="0" w:after="0" w:afterAutospacing="0"/>
        <w:rPr>
          <w:rFonts w:asciiTheme="majorHAnsi" w:eastAsiaTheme="minorHAnsi" w:hAnsiTheme="majorHAnsi" w:cstheme="majorHAnsi"/>
        </w:rPr>
      </w:pPr>
      <w:r w:rsidRPr="00BA2D71">
        <w:rPr>
          <w:rFonts w:asciiTheme="majorHAnsi" w:eastAsiaTheme="minorHAnsi" w:hAnsiTheme="majorHAnsi" w:cstheme="majorHAnsi"/>
        </w:rPr>
        <w:t>Judge Gregory G. Pinski is a district judge for the State of Montana Eighth Judicial District Court. Judge Pinski earned his bachelor of arts, </w:t>
      </w:r>
      <w:r w:rsidRPr="00BA2D71">
        <w:rPr>
          <w:rFonts w:asciiTheme="majorHAnsi" w:eastAsiaTheme="minorHAnsi" w:hAnsiTheme="majorHAnsi" w:cstheme="majorHAnsi"/>
          <w:i/>
          <w:iCs/>
        </w:rPr>
        <w:t>magna cum laude</w:t>
      </w:r>
      <w:r w:rsidRPr="00BA2D71">
        <w:rPr>
          <w:rFonts w:asciiTheme="majorHAnsi" w:eastAsiaTheme="minorHAnsi" w:hAnsiTheme="majorHAnsi" w:cstheme="majorHAnsi"/>
        </w:rPr>
        <w:t>, in political science and journalism from the University of North Dakota. Before attending law school, Judge Pinski worked at the White House in the Office of Presidential Scheduling for President Bill Clinton.  Judge Pinski graduated, </w:t>
      </w:r>
      <w:r w:rsidRPr="00BA2D71">
        <w:rPr>
          <w:rFonts w:asciiTheme="majorHAnsi" w:eastAsiaTheme="minorHAnsi" w:hAnsiTheme="majorHAnsi" w:cstheme="majorHAnsi"/>
          <w:i/>
          <w:iCs/>
        </w:rPr>
        <w:t>with distinction</w:t>
      </w:r>
      <w:r w:rsidRPr="00BA2D71">
        <w:rPr>
          <w:rFonts w:asciiTheme="majorHAnsi" w:eastAsiaTheme="minorHAnsi" w:hAnsiTheme="majorHAnsi" w:cstheme="majorHAnsi"/>
        </w:rPr>
        <w:t xml:space="preserve">, from the University of North Dakota School of Law. Upon graduation from law school, Judge Pinski entered private practice with Gray Plant </w:t>
      </w:r>
      <w:proofErr w:type="spellStart"/>
      <w:r w:rsidRPr="00BA2D71">
        <w:rPr>
          <w:rFonts w:asciiTheme="majorHAnsi" w:eastAsiaTheme="minorHAnsi" w:hAnsiTheme="majorHAnsi" w:cstheme="majorHAnsi"/>
        </w:rPr>
        <w:t>Mooty</w:t>
      </w:r>
      <w:proofErr w:type="spellEnd"/>
      <w:r w:rsidRPr="00BA2D71">
        <w:rPr>
          <w:rFonts w:asciiTheme="majorHAnsi" w:eastAsiaTheme="minorHAnsi" w:hAnsiTheme="majorHAnsi" w:cstheme="majorHAnsi"/>
        </w:rPr>
        <w:t xml:space="preserve"> in Minneapolis, while teaching at the University of Minnesota Law School. Judge Pinski returned to private practice in Montana with Conner &amp; Pinski, PLLP before his election as district judge in 2013. Since joining the bench, Judge Pinski has sat by designation on the Montana Supreme Court, and he was appointed by the chief justice to the Montana Uniform District Court Rules Committee, Drug Treatment Court Council, and Access to Justice Commission. The attorney general appointed him to the Montana Crime Lab Advisory Board. The Montana legislature confirmed Judge Pinski as a national commissioner to the Uniform Law Commission.  Judge Pinski also serves on the National Judicial Opioid Task Force. Judge Pinski founded and presides over a </w:t>
      </w:r>
      <w:proofErr w:type="gramStart"/>
      <w:r w:rsidRPr="00BA2D71">
        <w:rPr>
          <w:rFonts w:asciiTheme="majorHAnsi" w:eastAsiaTheme="minorHAnsi" w:hAnsiTheme="majorHAnsi" w:cstheme="majorHAnsi"/>
        </w:rPr>
        <w:t>veterans</w:t>
      </w:r>
      <w:proofErr w:type="gramEnd"/>
      <w:r w:rsidRPr="00BA2D71">
        <w:rPr>
          <w:rFonts w:asciiTheme="majorHAnsi" w:eastAsiaTheme="minorHAnsi" w:hAnsiTheme="majorHAnsi" w:cstheme="majorHAnsi"/>
        </w:rPr>
        <w:t xml:space="preserve"> treatment court and adult drug treatment court. Judge Pinski serves as a judicial consultant to the National Association of Drug Court Professionals, National Drug Court Institute, Justice for Vets, and American University providing research, training, and technical assistance services to drug treatment courts and </w:t>
      </w:r>
      <w:proofErr w:type="gramStart"/>
      <w:r w:rsidRPr="00BA2D71">
        <w:rPr>
          <w:rFonts w:asciiTheme="majorHAnsi" w:eastAsiaTheme="minorHAnsi" w:hAnsiTheme="majorHAnsi" w:cstheme="majorHAnsi"/>
        </w:rPr>
        <w:t>veterans</w:t>
      </w:r>
      <w:proofErr w:type="gramEnd"/>
      <w:r w:rsidRPr="00BA2D71">
        <w:rPr>
          <w:rFonts w:asciiTheme="majorHAnsi" w:eastAsiaTheme="minorHAnsi" w:hAnsiTheme="majorHAnsi" w:cstheme="majorHAnsi"/>
        </w:rPr>
        <w:t xml:space="preserve"> treatment courts across the United States. Judge Pinski is active in many community organizations. He is an Eagle Scout who volunteers extensively for the Boy Scouts and Special Olympics. Judge Pinski was the first Montanan to receive the Boy Scouts of America National Outstanding Eagle Scout Award for his professional achievements. Judge </w:t>
      </w:r>
      <w:proofErr w:type="spellStart"/>
      <w:r w:rsidRPr="00BA2D71">
        <w:rPr>
          <w:rFonts w:asciiTheme="majorHAnsi" w:eastAsiaTheme="minorHAnsi" w:hAnsiTheme="majorHAnsi" w:cstheme="majorHAnsi"/>
        </w:rPr>
        <w:t>Pinski’s</w:t>
      </w:r>
      <w:proofErr w:type="spellEnd"/>
      <w:r w:rsidRPr="00BA2D71">
        <w:rPr>
          <w:rFonts w:asciiTheme="majorHAnsi" w:eastAsiaTheme="minorHAnsi" w:hAnsiTheme="majorHAnsi" w:cstheme="majorHAnsi"/>
        </w:rPr>
        <w:t xml:space="preserve"> wife, Amber, is a radiation oncology nurse, and they have two sons, James and Jack.</w:t>
      </w:r>
    </w:p>
    <w:p w14:paraId="28349563" w14:textId="4FFC4377" w:rsidR="00453840" w:rsidRDefault="00453840" w:rsidP="00741846">
      <w:pPr>
        <w:pStyle w:val="NormalWeb"/>
        <w:spacing w:before="0" w:beforeAutospacing="0" w:after="0" w:afterAutospacing="0"/>
        <w:rPr>
          <w:rFonts w:asciiTheme="majorHAnsi" w:eastAsiaTheme="minorHAnsi" w:hAnsiTheme="majorHAnsi" w:cstheme="majorHAnsi"/>
        </w:rPr>
      </w:pPr>
    </w:p>
    <w:p w14:paraId="3CD246F0" w14:textId="77777777" w:rsidR="00927F87" w:rsidRDefault="00453840" w:rsidP="00453840">
      <w:pPr>
        <w:pStyle w:val="xmsonormal"/>
        <w:rPr>
          <w:rFonts w:asciiTheme="majorHAnsi" w:hAnsiTheme="majorHAnsi" w:cstheme="majorHAnsi"/>
        </w:rPr>
      </w:pPr>
      <w:r w:rsidRPr="00453840">
        <w:rPr>
          <w:rFonts w:asciiTheme="majorHAnsi" w:hAnsiTheme="majorHAnsi" w:cstheme="majorHAnsi"/>
          <w:b/>
        </w:rPr>
        <w:t>Maegan Rides at the Door</w:t>
      </w:r>
      <w:r w:rsidRPr="00453840">
        <w:rPr>
          <w:rFonts w:asciiTheme="majorHAnsi" w:hAnsiTheme="majorHAnsi" w:cstheme="majorHAnsi"/>
        </w:rPr>
        <w:t xml:space="preserve">, PhD, LCPC, </w:t>
      </w:r>
      <w:r w:rsidRPr="00927F87">
        <w:rPr>
          <w:rFonts w:asciiTheme="majorHAnsi" w:hAnsiTheme="majorHAnsi" w:cstheme="majorHAnsi"/>
          <w:i/>
        </w:rPr>
        <w:t>Director and Principal Investigator, National Native Children’s Trauma Center</w:t>
      </w:r>
      <w:r w:rsidRPr="00453840">
        <w:rPr>
          <w:rFonts w:asciiTheme="majorHAnsi" w:hAnsiTheme="majorHAnsi" w:cstheme="majorHAnsi"/>
        </w:rPr>
        <w:t xml:space="preserve">. </w:t>
      </w:r>
    </w:p>
    <w:p w14:paraId="292BE4EE" w14:textId="09DB4AD3" w:rsidR="00453840" w:rsidRPr="00453840" w:rsidRDefault="00453840" w:rsidP="00453840">
      <w:pPr>
        <w:pStyle w:val="xmsonormal"/>
        <w:rPr>
          <w:rFonts w:asciiTheme="majorHAnsi" w:hAnsiTheme="majorHAnsi" w:cstheme="majorHAnsi"/>
        </w:rPr>
      </w:pPr>
      <w:r w:rsidRPr="00453840">
        <w:rPr>
          <w:rFonts w:asciiTheme="majorHAnsi" w:hAnsiTheme="majorHAnsi" w:cstheme="majorHAnsi"/>
        </w:rPr>
        <w:t xml:space="preserve">As Director of the National Native Children’s Trauma Center, Maegan Rides at the Door has had a key role in designing and implementing a range of training and technical assistance initiatives in tribal communities, including projects for trauma-informed systems change in mental health, </w:t>
      </w:r>
      <w:r w:rsidRPr="00453840">
        <w:rPr>
          <w:rFonts w:asciiTheme="majorHAnsi" w:hAnsiTheme="majorHAnsi" w:cstheme="majorHAnsi"/>
        </w:rPr>
        <w:lastRenderedPageBreak/>
        <w:t xml:space="preserve">child welfare, and educational settings, each of which address early childhood populations, as well as cross-system projects focusing on the sequelae of early exposure to trauma, including projects in juvenile justice reform and suicide prevention. She is a member of the Fort Peck Assiniboine/Sioux Tribes and a descendent of the Absentee Shawnee Tribe in Oklahoma. </w:t>
      </w:r>
    </w:p>
    <w:p w14:paraId="1BB4FF07" w14:textId="77777777" w:rsidR="00453840" w:rsidRPr="00BA2D71" w:rsidRDefault="00453840" w:rsidP="00741846">
      <w:pPr>
        <w:pStyle w:val="NormalWeb"/>
        <w:spacing w:before="0" w:beforeAutospacing="0" w:after="0" w:afterAutospacing="0"/>
        <w:rPr>
          <w:rFonts w:asciiTheme="majorHAnsi" w:eastAsiaTheme="minorHAnsi" w:hAnsiTheme="majorHAnsi" w:cstheme="majorHAnsi"/>
        </w:rPr>
      </w:pPr>
    </w:p>
    <w:p w14:paraId="23291CED" w14:textId="27899547" w:rsidR="00877C09" w:rsidRDefault="00741846" w:rsidP="00877C09">
      <w:pPr>
        <w:pStyle w:val="NormalWeb"/>
        <w:spacing w:before="0" w:beforeAutospacing="0" w:after="0" w:afterAutospacing="0"/>
        <w:rPr>
          <w:rFonts w:asciiTheme="majorHAnsi" w:eastAsiaTheme="minorHAnsi" w:hAnsiTheme="majorHAnsi" w:cstheme="majorHAnsi"/>
        </w:rPr>
      </w:pPr>
      <w:r w:rsidRPr="00BA2D71">
        <w:rPr>
          <w:rFonts w:asciiTheme="majorHAnsi" w:eastAsiaTheme="minorHAnsi" w:hAnsiTheme="majorHAnsi" w:cstheme="majorHAnsi"/>
          <w:b/>
        </w:rPr>
        <w:t>Carol Scott</w:t>
      </w:r>
      <w:r w:rsidRPr="00BA2D71">
        <w:rPr>
          <w:rFonts w:asciiTheme="majorHAnsi" w:eastAsiaTheme="minorHAnsi" w:hAnsiTheme="majorHAnsi" w:cstheme="majorHAnsi"/>
        </w:rPr>
        <w:t xml:space="preserve">, Esq., </w:t>
      </w:r>
      <w:r w:rsidRPr="00877C09">
        <w:rPr>
          <w:rFonts w:asciiTheme="majorHAnsi" w:eastAsiaTheme="minorHAnsi" w:hAnsiTheme="majorHAnsi" w:cstheme="majorHAnsi"/>
          <w:i/>
        </w:rPr>
        <w:t>Legislative and Veterans Affairs Chair, Veterans and Military Law Section, Federal Bar Association; Bergmann &amp; Moore</w:t>
      </w:r>
    </w:p>
    <w:p w14:paraId="64309B2F" w14:textId="747D12A8" w:rsidR="00101442" w:rsidRPr="00101442" w:rsidRDefault="00101442" w:rsidP="00101442">
      <w:pPr>
        <w:rPr>
          <w:rFonts w:asciiTheme="majorHAnsi" w:hAnsiTheme="majorHAnsi" w:cstheme="majorHAnsi"/>
        </w:rPr>
      </w:pPr>
      <w:r w:rsidRPr="00101442">
        <w:rPr>
          <w:rFonts w:asciiTheme="majorHAnsi" w:hAnsiTheme="majorHAnsi" w:cstheme="majorHAnsi"/>
        </w:rPr>
        <w:t>Carol Wild Scott graduate</w:t>
      </w:r>
      <w:r>
        <w:rPr>
          <w:rFonts w:asciiTheme="majorHAnsi" w:hAnsiTheme="majorHAnsi" w:cstheme="majorHAnsi"/>
        </w:rPr>
        <w:t xml:space="preserve">d from law school in June, 1970. </w:t>
      </w:r>
      <w:r w:rsidRPr="00101442">
        <w:rPr>
          <w:rFonts w:asciiTheme="majorHAnsi" w:hAnsiTheme="majorHAnsi" w:cstheme="majorHAnsi"/>
        </w:rPr>
        <w:t xml:space="preserve">In 1975 she </w:t>
      </w:r>
      <w:r>
        <w:rPr>
          <w:rFonts w:asciiTheme="majorHAnsi" w:hAnsiTheme="majorHAnsi" w:cstheme="majorHAnsi"/>
        </w:rPr>
        <w:t>b</w:t>
      </w:r>
      <w:r w:rsidRPr="00101442">
        <w:rPr>
          <w:rFonts w:asciiTheme="majorHAnsi" w:hAnsiTheme="majorHAnsi" w:cstheme="majorHAnsi"/>
        </w:rPr>
        <w:t>ecame a Commissioner (Central Staff) of the U.S. Court of Military Appeals in Washington, DC., during which time she served on the Joint Services Working Group at DOD, which rewrote the Military Rules of Evidence. In 1982, as Supervisory Attorney, she set up the Staff Attorney’s Office of the newly organized U.S. Circuit Court of Appeal for the 11</w:t>
      </w:r>
      <w:r w:rsidRPr="00101442">
        <w:rPr>
          <w:rFonts w:asciiTheme="majorHAnsi" w:hAnsiTheme="majorHAnsi" w:cstheme="majorHAnsi"/>
          <w:vertAlign w:val="superscript"/>
        </w:rPr>
        <w:t>th</w:t>
      </w:r>
      <w:r w:rsidRPr="00101442">
        <w:rPr>
          <w:rFonts w:asciiTheme="majorHAnsi" w:hAnsiTheme="majorHAnsi" w:cstheme="majorHAnsi"/>
        </w:rPr>
        <w:t xml:space="preserve"> Circuit. </w:t>
      </w:r>
      <w:bookmarkStart w:id="0" w:name="_GoBack"/>
      <w:r w:rsidRPr="00101442">
        <w:rPr>
          <w:rFonts w:asciiTheme="majorHAnsi" w:hAnsiTheme="majorHAnsi" w:cstheme="majorHAnsi"/>
        </w:rPr>
        <w:t xml:space="preserve">In 1984 she returned to the Washington, DC area, became a small business owner and began to practice Veterans Law. </w:t>
      </w:r>
      <w:bookmarkEnd w:id="0"/>
      <w:r w:rsidRPr="00101442">
        <w:rPr>
          <w:rFonts w:asciiTheme="majorHAnsi" w:hAnsiTheme="majorHAnsi" w:cstheme="majorHAnsi"/>
        </w:rPr>
        <w:t>In 1995 C</w:t>
      </w:r>
      <w:r>
        <w:rPr>
          <w:rFonts w:asciiTheme="majorHAnsi" w:hAnsiTheme="majorHAnsi" w:cstheme="majorHAnsi"/>
        </w:rPr>
        <w:t>arol became Deputy Director of t</w:t>
      </w:r>
      <w:r w:rsidRPr="00101442">
        <w:rPr>
          <w:rFonts w:asciiTheme="majorHAnsi" w:hAnsiTheme="majorHAnsi" w:cstheme="majorHAnsi"/>
        </w:rPr>
        <w:t>he Veterans Consortium Pro Bono Program in Washington, DC, until her semi-retirement in 2017. During that time</w:t>
      </w:r>
      <w:r>
        <w:rPr>
          <w:rFonts w:asciiTheme="majorHAnsi" w:hAnsiTheme="majorHAnsi" w:cstheme="majorHAnsi"/>
        </w:rPr>
        <w:t>,</w:t>
      </w:r>
      <w:r w:rsidRPr="00101442">
        <w:rPr>
          <w:rFonts w:asciiTheme="majorHAnsi" w:hAnsiTheme="majorHAnsi" w:cstheme="majorHAnsi"/>
        </w:rPr>
        <w:t xml:space="preserve"> she became a member of the National Association of Veterans Advocates (1999 – present) and Chair of the Veterans &amp; Military Law Section of the Federa</w:t>
      </w:r>
      <w:r>
        <w:rPr>
          <w:rFonts w:asciiTheme="majorHAnsi" w:hAnsiTheme="majorHAnsi" w:cstheme="majorHAnsi"/>
        </w:rPr>
        <w:t xml:space="preserve">l Bar Association (2003-2016). </w:t>
      </w:r>
      <w:r w:rsidRPr="00101442">
        <w:rPr>
          <w:rFonts w:asciiTheme="majorHAnsi" w:hAnsiTheme="majorHAnsi" w:cstheme="majorHAnsi"/>
        </w:rPr>
        <w:t>In 2016, as past Chair, she became Chair of the Legislative Committee of the Section (2016 – present). In that capacity she continued advocating on Capitol Hill for veterans, particularly American Indian veterans. In her capacity as Legislative Chair she participates in Speaker Pelosi’s VSO Roundtable, meets with members and staff and submits comments on legislation for the record. She joined NCAI, becoming a member of the Veterans Committee of NCAI in 2005. In 2018 she became part of the firm of Bergmann &amp; Moore, LLC, serving as Coordinator, American Indian Veterans Outreach, for which she travels to tribal communities all over the country presenting Benefits Workshops for veterans with training for Tri</w:t>
      </w:r>
      <w:r>
        <w:rPr>
          <w:rFonts w:asciiTheme="majorHAnsi" w:hAnsiTheme="majorHAnsi" w:cstheme="majorHAnsi"/>
        </w:rPr>
        <w:t xml:space="preserve">bal Veterans Service Officers. She </w:t>
      </w:r>
      <w:r w:rsidRPr="00101442">
        <w:rPr>
          <w:rFonts w:asciiTheme="majorHAnsi" w:hAnsiTheme="majorHAnsi" w:cstheme="majorHAnsi"/>
        </w:rPr>
        <w:t>advocate</w:t>
      </w:r>
      <w:r>
        <w:rPr>
          <w:rFonts w:asciiTheme="majorHAnsi" w:hAnsiTheme="majorHAnsi" w:cstheme="majorHAnsi"/>
        </w:rPr>
        <w:t>s</w:t>
      </w:r>
      <w:r w:rsidRPr="00101442">
        <w:rPr>
          <w:rFonts w:asciiTheme="majorHAnsi" w:hAnsiTheme="majorHAnsi" w:cstheme="majorHAnsi"/>
        </w:rPr>
        <w:t xml:space="preserve"> for American Indian veterans both before the Department of Veterans Affairs and before the House Committee on Veterans Affairs, the House Natural Resources Committee Sub-committee on Indigenous People and the Senate Committees on Indian Affairs and Veterans Affairs. She is a member of the DC Bar, the Florida Bar (Inactive), The Bar of the U.S. Eleventh Circuit Court of Appeals, the U.S. Court of Appeals for the Federal Circuit, the U.S. Court of Appeals for the Armed Forces and the U.S. Court of Appeals for Veterans Claims. She is married to Michael Allen, Assiniboine, and has three children, seven grandchildren and ten great-grandchildren.  She resides in Linden, Virginia with Michael, one daughter and the youngest grandchild.</w:t>
      </w:r>
    </w:p>
    <w:p w14:paraId="0AED6F62" w14:textId="77777777" w:rsidR="00877C09" w:rsidRDefault="00877C09" w:rsidP="00877C09">
      <w:pPr>
        <w:pStyle w:val="NormalWeb"/>
        <w:spacing w:before="0" w:beforeAutospacing="0" w:after="0" w:afterAutospacing="0"/>
        <w:rPr>
          <w:rFonts w:asciiTheme="majorHAnsi" w:eastAsiaTheme="minorHAnsi" w:hAnsiTheme="majorHAnsi" w:cstheme="majorHAnsi"/>
        </w:rPr>
      </w:pPr>
    </w:p>
    <w:p w14:paraId="5856A398" w14:textId="549C62D9" w:rsidR="0066370F" w:rsidRPr="00877C09" w:rsidRDefault="0066370F" w:rsidP="00877C09">
      <w:pPr>
        <w:pStyle w:val="NormalWeb"/>
        <w:spacing w:before="0" w:beforeAutospacing="0" w:after="0" w:afterAutospacing="0"/>
        <w:rPr>
          <w:rFonts w:asciiTheme="majorHAnsi" w:eastAsiaTheme="minorHAnsi" w:hAnsiTheme="majorHAnsi" w:cstheme="majorHAnsi"/>
        </w:rPr>
      </w:pPr>
      <w:r w:rsidRPr="00877C09">
        <w:rPr>
          <w:rFonts w:asciiTheme="majorHAnsi" w:hAnsiTheme="majorHAnsi" w:cstheme="majorHAnsi"/>
          <w:b/>
        </w:rPr>
        <w:lastRenderedPageBreak/>
        <w:t>Scott R. Swaim</w:t>
      </w:r>
      <w:r w:rsidRPr="00877C09">
        <w:rPr>
          <w:rFonts w:asciiTheme="majorHAnsi" w:hAnsiTheme="majorHAnsi" w:cstheme="majorHAnsi"/>
        </w:rPr>
        <w:t>, USAFV, M.A., LMHC</w:t>
      </w:r>
      <w:r w:rsidR="00877C09">
        <w:rPr>
          <w:rFonts w:asciiTheme="majorHAnsi" w:hAnsiTheme="majorHAnsi" w:cstheme="majorHAnsi"/>
        </w:rPr>
        <w:t xml:space="preserve">, </w:t>
      </w:r>
      <w:r w:rsidR="00877C09" w:rsidRPr="00877C09">
        <w:rPr>
          <w:rFonts w:asciiTheme="majorHAnsi" w:hAnsiTheme="majorHAnsi" w:cstheme="majorHAnsi"/>
          <w:i/>
        </w:rPr>
        <w:t>Director of Adult System of Care for National Aetna Medicaid</w:t>
      </w:r>
    </w:p>
    <w:p w14:paraId="49239FC8" w14:textId="6DA4202A" w:rsidR="0066370F" w:rsidRDefault="0066370F" w:rsidP="0066370F">
      <w:pPr>
        <w:jc w:val="both"/>
        <w:rPr>
          <w:rFonts w:asciiTheme="majorHAnsi" w:hAnsiTheme="majorHAnsi" w:cstheme="majorHAnsi"/>
          <w:szCs w:val="24"/>
        </w:rPr>
      </w:pPr>
      <w:r w:rsidRPr="00877C09">
        <w:rPr>
          <w:rFonts w:asciiTheme="majorHAnsi" w:hAnsiTheme="majorHAnsi" w:cstheme="majorHAnsi"/>
          <w:szCs w:val="24"/>
        </w:rPr>
        <w:t xml:space="preserve">Scott Swaim is a US Air Force, Gulf War Veteran, and licensed mental health counselor. He is the Director of Adult System of Care for National Aetna Medicaid. He has managed and directed programs in community behavioral health for 25 years in Florida and Washington State. Most recently serving as Director of Justice for Vets with the National Association of Drug Court Professionals. During his military service, he was stationed in Germany, Kentucky and performed missions to 32 different countries as a Loadmaster Crewmember on the C-5 Galaxy out of Dover Air Force Base, Delaware with the 9th and 709th Airlift Squadrons. He earned both his Bachelors and Masters while serving on Active duty in the Air Force and then transferred to the reserves. Prior to coming to NADCP and Justice </w:t>
      </w:r>
      <w:proofErr w:type="gramStart"/>
      <w:r w:rsidRPr="00877C09">
        <w:rPr>
          <w:rFonts w:asciiTheme="majorHAnsi" w:hAnsiTheme="majorHAnsi" w:cstheme="majorHAnsi"/>
          <w:szCs w:val="24"/>
        </w:rPr>
        <w:t>For</w:t>
      </w:r>
      <w:proofErr w:type="gramEnd"/>
      <w:r w:rsidRPr="00877C09">
        <w:rPr>
          <w:rFonts w:asciiTheme="majorHAnsi" w:hAnsiTheme="majorHAnsi" w:cstheme="majorHAnsi"/>
          <w:szCs w:val="24"/>
        </w:rPr>
        <w:t xml:space="preserve"> Vets he served as Senior Director of Veteran Services at Valley Cities Counseling, and Clinical Supervisor of the Veterans Court Liaison for the Seattle Veterans Treatment Court, the Regional Veterans Treatment Court, and contractor with the Washington Department of Veterans Affairs, PTSD and War Trauma program. In 2007, he started the consulting and service agency, </w:t>
      </w:r>
      <w:proofErr w:type="spellStart"/>
      <w:r w:rsidRPr="00877C09">
        <w:rPr>
          <w:rFonts w:asciiTheme="majorHAnsi" w:hAnsiTheme="majorHAnsi" w:cstheme="majorHAnsi"/>
          <w:szCs w:val="24"/>
        </w:rPr>
        <w:t>Milspec</w:t>
      </w:r>
      <w:proofErr w:type="spellEnd"/>
      <w:r w:rsidRPr="00877C09">
        <w:rPr>
          <w:rFonts w:asciiTheme="majorHAnsi" w:hAnsiTheme="majorHAnsi" w:cstheme="majorHAnsi"/>
          <w:szCs w:val="24"/>
        </w:rPr>
        <w:t xml:space="preserve"> Advisory Group, to serve Veterans and their families by providing professional education and services on subjects such as Military Culture, Veteran Informed Care, Post Traumatic Stress and Military Sexual Trauma. Over the last 12 years he has conducted over 300 trainings throughout the country to representatives from the local, state, and federal government, the judiciary, Veterans affairs, health care systems, defense contractors, higher education, tribal representatives, law enforcement, and military families. He has served on the joint DOD/VA workgroup on Military Culture training, served as Co-Chair of the Military Trauma Conference 2010 and 2011 and authored the </w:t>
      </w:r>
      <w:proofErr w:type="spellStart"/>
      <w:r w:rsidRPr="00877C09">
        <w:rPr>
          <w:rFonts w:asciiTheme="majorHAnsi" w:hAnsiTheme="majorHAnsi" w:cstheme="majorHAnsi"/>
          <w:szCs w:val="24"/>
        </w:rPr>
        <w:t>Quickseries</w:t>
      </w:r>
      <w:proofErr w:type="spellEnd"/>
      <w:r w:rsidRPr="00877C09">
        <w:rPr>
          <w:rFonts w:asciiTheme="majorHAnsi" w:hAnsiTheme="majorHAnsi" w:cstheme="majorHAnsi"/>
          <w:szCs w:val="24"/>
        </w:rPr>
        <w:t xml:space="preserve"> guide on Military and Veteran Culture. He is a life member of the Veterans of Foreign Wars, and Disabled American Veterans.</w:t>
      </w:r>
    </w:p>
    <w:p w14:paraId="4C72D2BC" w14:textId="63302B3F" w:rsidR="001746DC" w:rsidRDefault="001746DC" w:rsidP="001746DC">
      <w:pPr>
        <w:pStyle w:val="NoSpacing"/>
      </w:pPr>
    </w:p>
    <w:p w14:paraId="3880897A" w14:textId="47916243" w:rsidR="001746DC" w:rsidRPr="001746DC" w:rsidRDefault="001746DC" w:rsidP="001746DC">
      <w:pPr>
        <w:rPr>
          <w:rFonts w:asciiTheme="majorHAnsi" w:hAnsiTheme="majorHAnsi" w:cstheme="majorHAnsi"/>
          <w:szCs w:val="24"/>
        </w:rPr>
      </w:pPr>
      <w:r w:rsidRPr="001746DC">
        <w:rPr>
          <w:rFonts w:asciiTheme="majorHAnsi" w:hAnsiTheme="majorHAnsi" w:cstheme="majorHAnsi"/>
          <w:b/>
          <w:szCs w:val="24"/>
        </w:rPr>
        <w:t>Ashley Trautman</w:t>
      </w:r>
      <w:r w:rsidRPr="001746DC">
        <w:rPr>
          <w:rFonts w:asciiTheme="majorHAnsi" w:hAnsiTheme="majorHAnsi" w:cstheme="majorHAnsi"/>
          <w:szCs w:val="24"/>
        </w:rPr>
        <w:t>, MSW, JD</w:t>
      </w:r>
      <w:r>
        <w:rPr>
          <w:rFonts w:asciiTheme="majorHAnsi" w:hAnsiTheme="majorHAnsi" w:cstheme="majorHAnsi"/>
          <w:szCs w:val="24"/>
        </w:rPr>
        <w:t>,</w:t>
      </w:r>
      <w:r w:rsidRPr="001746DC">
        <w:rPr>
          <w:rFonts w:asciiTheme="majorHAnsi" w:hAnsiTheme="majorHAnsi" w:cstheme="majorHAnsi"/>
          <w:szCs w:val="24"/>
        </w:rPr>
        <w:t xml:space="preserve"> </w:t>
      </w:r>
      <w:r w:rsidRPr="001746DC">
        <w:rPr>
          <w:rFonts w:asciiTheme="majorHAnsi" w:hAnsiTheme="majorHAnsi" w:cstheme="majorHAnsi"/>
          <w:i/>
          <w:szCs w:val="24"/>
        </w:rPr>
        <w:t>Assistant Professor, University of Montana School of Social Work; Juvenile Justice Technical Assistance Specialist, National Native Children’s Trauma Center</w:t>
      </w:r>
    </w:p>
    <w:p w14:paraId="16AFCDFD" w14:textId="2177A798" w:rsidR="007F6C0C" w:rsidRPr="00BA2D71" w:rsidRDefault="001746DC" w:rsidP="00CA673B">
      <w:pPr>
        <w:rPr>
          <w:rFonts w:asciiTheme="majorHAnsi" w:hAnsiTheme="majorHAnsi" w:cstheme="majorHAnsi"/>
          <w:szCs w:val="24"/>
        </w:rPr>
      </w:pPr>
      <w:r w:rsidRPr="001746DC">
        <w:rPr>
          <w:rFonts w:asciiTheme="majorHAnsi" w:hAnsiTheme="majorHAnsi" w:cstheme="majorHAnsi"/>
          <w:szCs w:val="24"/>
        </w:rPr>
        <w:t xml:space="preserve">Ashley Trautman, MSW, JD, serves as an Assistant Professor at the University of Montana School of Social Work and a Juvenile Justice Technical Assistance Specialist at the National Native Children’s Trauma Center (NNCTC). In her work at NNCTC, Ashley provides training and technical assistance on the issue of childhood trauma to tribal communities across the country. This work has included training to tribal court judges, attorneys, advocates, school professionals and social service workers on trauma informed policies and practices. In her role as faculty in the School of Social Work, Ashley serves as the Director of the MSW program and teaches several classes on </w:t>
      </w:r>
      <w:r w:rsidRPr="001746DC">
        <w:rPr>
          <w:rFonts w:asciiTheme="majorHAnsi" w:hAnsiTheme="majorHAnsi" w:cstheme="majorHAnsi"/>
          <w:szCs w:val="24"/>
        </w:rPr>
        <w:lastRenderedPageBreak/>
        <w:t>policy including the Indian Child Welfare Act and a course on the history of laws and policies impacting tribal sovereignty and contemporary implications to tribal communities.</w:t>
      </w:r>
    </w:p>
    <w:sectPr w:rsidR="007F6C0C" w:rsidRPr="00BA2D71" w:rsidSect="00F64662">
      <w:headerReference w:type="default" r:id="rId8"/>
      <w:footerReference w:type="default" r:id="rId9"/>
      <w:headerReference w:type="first" r:id="rId10"/>
      <w:footerReference w:type="firs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35928" w14:textId="77777777" w:rsidR="00080B12" w:rsidRDefault="00080B12" w:rsidP="00BB2E8C">
      <w:r>
        <w:separator/>
      </w:r>
    </w:p>
  </w:endnote>
  <w:endnote w:type="continuationSeparator" w:id="0">
    <w:p w14:paraId="09118445" w14:textId="77777777" w:rsidR="00080B12" w:rsidRDefault="00080B12" w:rsidP="00B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58652210"/>
      <w:docPartObj>
        <w:docPartGallery w:val="Page Numbers (Bottom of Page)"/>
        <w:docPartUnique/>
      </w:docPartObj>
    </w:sdtPr>
    <w:sdtEndPr>
      <w:rPr>
        <w:noProof/>
      </w:rPr>
    </w:sdtEndPr>
    <w:sdtContent>
      <w:p w14:paraId="4AB2829E" w14:textId="405692DA" w:rsidR="0061190C" w:rsidRPr="0061190C" w:rsidRDefault="0061190C" w:rsidP="00F64662">
        <w:pPr>
          <w:pStyle w:val="Footer"/>
          <w:spacing w:line="192" w:lineRule="auto"/>
          <w:rPr>
            <w:sz w:val="16"/>
            <w:szCs w:val="16"/>
          </w:rPr>
        </w:pPr>
        <w:r w:rsidRPr="0061190C">
          <w:rPr>
            <w:noProof/>
            <w:sz w:val="16"/>
            <w:szCs w:val="16"/>
          </w:rPr>
          <w:drawing>
            <wp:inline distT="0" distB="0" distL="0" distR="0" wp14:anchorId="7A632442" wp14:editId="4872EE96">
              <wp:extent cx="5468620" cy="425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20" cy="42545"/>
                      </a:xfrm>
                      <a:prstGeom prst="rect">
                        <a:avLst/>
                      </a:prstGeom>
                      <a:noFill/>
                    </pic:spPr>
                  </pic:pic>
                </a:graphicData>
              </a:graphic>
            </wp:inline>
          </w:drawing>
        </w:r>
      </w:p>
      <w:p w14:paraId="3D49CF06" w14:textId="5672B4AC" w:rsidR="0061190C" w:rsidRPr="0061190C" w:rsidRDefault="0061190C" w:rsidP="0061190C">
        <w:pPr>
          <w:pStyle w:val="Footer"/>
          <w:jc w:val="center"/>
          <w:rPr>
            <w:noProof/>
            <w:sz w:val="16"/>
            <w:szCs w:val="16"/>
          </w:rPr>
        </w:pPr>
        <w:r w:rsidRPr="0061190C">
          <w:rPr>
            <w:sz w:val="16"/>
            <w:szCs w:val="16"/>
          </w:rPr>
          <w:t xml:space="preserve">Tribal Law and Policy Institute: </w:t>
        </w:r>
        <w:hyperlink r:id="rId2" w:history="1">
          <w:r w:rsidRPr="0061190C">
            <w:rPr>
              <w:rStyle w:val="Hyperlink"/>
              <w:sz w:val="16"/>
              <w:szCs w:val="16"/>
            </w:rPr>
            <w:t>Home.TLPI.org</w:t>
          </w:r>
        </w:hyperlink>
        <w:r w:rsidRPr="0061190C">
          <w:rPr>
            <w:sz w:val="16"/>
            <w:szCs w:val="16"/>
          </w:rPr>
          <w:t xml:space="preserve">  | (323) 650-5467 | </w:t>
        </w:r>
        <w:hyperlink r:id="rId3" w:history="1">
          <w:r w:rsidRPr="0061190C">
            <w:rPr>
              <w:rStyle w:val="Hyperlink"/>
              <w:sz w:val="16"/>
              <w:szCs w:val="16"/>
            </w:rPr>
            <w:t>info@tlpi.org</w:t>
          </w:r>
        </w:hyperlink>
        <w:r w:rsidRPr="0061190C">
          <w:rPr>
            <w:sz w:val="16"/>
            <w:szCs w:val="16"/>
          </w:rPr>
          <w:t xml:space="preserve"> </w:t>
        </w:r>
      </w:p>
    </w:sdtContent>
  </w:sdt>
  <w:p w14:paraId="5397FB09" w14:textId="77777777" w:rsidR="0061190C" w:rsidRPr="0061190C" w:rsidRDefault="0061190C" w:rsidP="0061190C">
    <w:pPr>
      <w:pStyle w:val="Footer"/>
      <w:jc w:val="center"/>
      <w:rPr>
        <w:i/>
        <w:sz w:val="16"/>
        <w:szCs w:val="16"/>
      </w:rPr>
    </w:pPr>
    <w:r w:rsidRPr="0061190C">
      <w:rPr>
        <w:sz w:val="16"/>
        <w:szCs w:val="16"/>
      </w:rPr>
      <w:t xml:space="preserve">Tribal Healing to Wellness Courts: </w:t>
    </w:r>
    <w:hyperlink r:id="rId4" w:history="1">
      <w:r w:rsidRPr="0061190C">
        <w:rPr>
          <w:rStyle w:val="Hyperlink"/>
          <w:i/>
          <w:sz w:val="16"/>
          <w:szCs w:val="16"/>
        </w:rPr>
        <w:t>www.WellnessCourts.org</w:t>
      </w:r>
    </w:hyperlink>
  </w:p>
  <w:sdt>
    <w:sdtPr>
      <w:rPr>
        <w:sz w:val="16"/>
        <w:szCs w:val="16"/>
      </w:rPr>
      <w:id w:val="16206155"/>
      <w:docPartObj>
        <w:docPartGallery w:val="Page Numbers (Bottom of Page)"/>
        <w:docPartUnique/>
      </w:docPartObj>
    </w:sdtPr>
    <w:sdtEndPr>
      <w:rPr>
        <w:noProof/>
        <w:sz w:val="18"/>
      </w:rPr>
    </w:sdtEndPr>
    <w:sdtContent>
      <w:p w14:paraId="08866AA7" w14:textId="08D7BBE9" w:rsidR="0061190C" w:rsidRPr="0061190C" w:rsidRDefault="0061190C" w:rsidP="0061190C">
        <w:pPr>
          <w:pStyle w:val="Footer"/>
          <w:spacing w:line="360" w:lineRule="auto"/>
          <w:jc w:val="center"/>
          <w:rPr>
            <w:sz w:val="28"/>
          </w:rPr>
        </w:pPr>
        <w:r w:rsidRPr="0061190C">
          <w:rPr>
            <w:sz w:val="18"/>
            <w:szCs w:val="16"/>
          </w:rPr>
          <w:fldChar w:fldCharType="begin"/>
        </w:r>
        <w:r w:rsidRPr="0061190C">
          <w:rPr>
            <w:sz w:val="18"/>
            <w:szCs w:val="16"/>
          </w:rPr>
          <w:instrText xml:space="preserve"> PAGE   \* MERGEFORMAT </w:instrText>
        </w:r>
        <w:r w:rsidRPr="0061190C">
          <w:rPr>
            <w:sz w:val="18"/>
            <w:szCs w:val="16"/>
          </w:rPr>
          <w:fldChar w:fldCharType="separate"/>
        </w:r>
        <w:r w:rsidR="00B12BA2">
          <w:rPr>
            <w:noProof/>
            <w:sz w:val="18"/>
            <w:szCs w:val="16"/>
          </w:rPr>
          <w:t>8</w:t>
        </w:r>
        <w:r w:rsidRPr="0061190C">
          <w:rPr>
            <w:noProof/>
            <w:sz w:val="18"/>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144673"/>
      <w:docPartObj>
        <w:docPartGallery w:val="Page Numbers (Bottom of Page)"/>
        <w:docPartUnique/>
      </w:docPartObj>
    </w:sdtPr>
    <w:sdtEndPr>
      <w:rPr>
        <w:noProof/>
      </w:rPr>
    </w:sdtEndPr>
    <w:sdtContent>
      <w:sdt>
        <w:sdtPr>
          <w:rPr>
            <w:sz w:val="16"/>
            <w:szCs w:val="16"/>
          </w:rPr>
          <w:id w:val="378974747"/>
          <w:docPartObj>
            <w:docPartGallery w:val="Page Numbers (Bottom of Page)"/>
            <w:docPartUnique/>
          </w:docPartObj>
        </w:sdtPr>
        <w:sdtEndPr>
          <w:rPr>
            <w:noProof/>
          </w:rPr>
        </w:sdtEndPr>
        <w:sdtContent>
          <w:p w14:paraId="175FF580" w14:textId="60765EC9" w:rsidR="006815B7" w:rsidRDefault="0092296F" w:rsidP="00DD180A">
            <w:pPr>
              <w:pStyle w:val="Footer"/>
              <w:spacing w:line="192" w:lineRule="auto"/>
              <w:ind w:left="720"/>
              <w:rPr>
                <w:sz w:val="16"/>
                <w:szCs w:val="16"/>
              </w:rPr>
            </w:pPr>
            <w:r>
              <w:rPr>
                <w:noProof/>
              </w:rPr>
              <w:drawing>
                <wp:anchor distT="0" distB="0" distL="114300" distR="114300" simplePos="0" relativeHeight="251670528" behindDoc="0" locked="0" layoutInCell="1" allowOverlap="1" wp14:anchorId="3EC53E01" wp14:editId="47CE5B27">
                  <wp:simplePos x="0" y="0"/>
                  <wp:positionH relativeFrom="column">
                    <wp:posOffset>-474345</wp:posOffset>
                  </wp:positionH>
                  <wp:positionV relativeFrom="paragraph">
                    <wp:posOffset>109855</wp:posOffset>
                  </wp:positionV>
                  <wp:extent cx="1657232" cy="665903"/>
                  <wp:effectExtent l="0" t="0" r="635" b="1270"/>
                  <wp:wrapNone/>
                  <wp:docPr id="20" name="Picture 20" descr="Image result for bj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j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232" cy="6659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90C">
              <w:rPr>
                <w:noProof/>
                <w:sz w:val="16"/>
                <w:szCs w:val="16"/>
              </w:rPr>
              <w:t xml:space="preserve"> </w:t>
            </w:r>
          </w:p>
          <w:p w14:paraId="5759FB67" w14:textId="00EB5DB3" w:rsidR="006815B7" w:rsidRPr="0061190C" w:rsidRDefault="006815B7" w:rsidP="0092296F">
            <w:pPr>
              <w:pStyle w:val="Footer"/>
              <w:spacing w:line="192" w:lineRule="auto"/>
              <w:ind w:left="2070"/>
              <w:jc w:val="both"/>
              <w:rPr>
                <w:i/>
                <w:sz w:val="16"/>
                <w:szCs w:val="16"/>
              </w:rPr>
            </w:pPr>
            <w:r w:rsidRPr="0061190C">
              <w:rPr>
                <w:i/>
                <w:sz w:val="16"/>
                <w:szCs w:val="16"/>
              </w:rPr>
              <w:t xml:space="preserve">This </w:t>
            </w:r>
            <w:r w:rsidR="00F64662">
              <w:rPr>
                <w:i/>
                <w:sz w:val="16"/>
                <w:szCs w:val="16"/>
              </w:rPr>
              <w:t>resource</w:t>
            </w:r>
            <w:r w:rsidRPr="0061190C">
              <w:rPr>
                <w:i/>
                <w:sz w:val="16"/>
                <w:szCs w:val="16"/>
              </w:rPr>
              <w:t xml:space="preserve"> was funded and developed through a grant from the Bureau of Justice Assistance, Office of Justice Programs, U.S. Department of Justice. Neither the U.S. Department of Justice or any of its components operate, control, are responsible for, or necessarily endorse, this Web Site (including without limitations, it's content, technical infrastructure, and policies, and any services or tools provided.)</w:t>
            </w:r>
          </w:p>
          <w:p w14:paraId="320E7855" w14:textId="66BDA047" w:rsidR="006815B7" w:rsidRPr="0061190C" w:rsidRDefault="006815B7" w:rsidP="006815B7">
            <w:pPr>
              <w:pStyle w:val="Footer"/>
              <w:rPr>
                <w:sz w:val="16"/>
                <w:szCs w:val="16"/>
              </w:rPr>
            </w:pPr>
            <w:r w:rsidRPr="0061190C">
              <w:rPr>
                <w:noProof/>
                <w:sz w:val="16"/>
                <w:szCs w:val="16"/>
              </w:rPr>
              <w:drawing>
                <wp:inline distT="0" distB="0" distL="0" distR="0" wp14:anchorId="64E9C740" wp14:editId="778DC47A">
                  <wp:extent cx="5468620" cy="425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8620" cy="42545"/>
                          </a:xfrm>
                          <a:prstGeom prst="rect">
                            <a:avLst/>
                          </a:prstGeom>
                          <a:noFill/>
                        </pic:spPr>
                      </pic:pic>
                    </a:graphicData>
                  </a:graphic>
                </wp:inline>
              </w:drawing>
            </w:r>
          </w:p>
          <w:p w14:paraId="702B2D84" w14:textId="158A83E4" w:rsidR="006815B7" w:rsidRPr="0061190C" w:rsidRDefault="006815B7" w:rsidP="006815B7">
            <w:pPr>
              <w:pStyle w:val="Footer"/>
              <w:jc w:val="center"/>
              <w:rPr>
                <w:noProof/>
                <w:sz w:val="16"/>
                <w:szCs w:val="16"/>
              </w:rPr>
            </w:pPr>
            <w:r w:rsidRPr="0061190C">
              <w:rPr>
                <w:sz w:val="16"/>
                <w:szCs w:val="16"/>
              </w:rPr>
              <w:t xml:space="preserve">Tribal Law and Policy Institute: </w:t>
            </w:r>
            <w:hyperlink r:id="rId3" w:history="1">
              <w:r w:rsidRPr="0061190C">
                <w:rPr>
                  <w:rStyle w:val="Hyperlink"/>
                  <w:sz w:val="16"/>
                  <w:szCs w:val="16"/>
                </w:rPr>
                <w:t>Home.TLPI.org</w:t>
              </w:r>
            </w:hyperlink>
            <w:r w:rsidRPr="0061190C">
              <w:rPr>
                <w:sz w:val="16"/>
                <w:szCs w:val="16"/>
              </w:rPr>
              <w:t xml:space="preserve">  | (323) 650-5467 | </w:t>
            </w:r>
            <w:hyperlink r:id="rId4" w:history="1">
              <w:r w:rsidRPr="0061190C">
                <w:rPr>
                  <w:rStyle w:val="Hyperlink"/>
                  <w:sz w:val="16"/>
                  <w:szCs w:val="16"/>
                </w:rPr>
                <w:t>info@tlpi.org</w:t>
              </w:r>
            </w:hyperlink>
            <w:r w:rsidRPr="0061190C">
              <w:rPr>
                <w:sz w:val="16"/>
                <w:szCs w:val="16"/>
              </w:rPr>
              <w:t xml:space="preserve"> </w:t>
            </w:r>
          </w:p>
        </w:sdtContent>
      </w:sdt>
      <w:p w14:paraId="437E1C96" w14:textId="56C00FFF" w:rsidR="006815B7" w:rsidRPr="0061190C" w:rsidRDefault="006815B7" w:rsidP="006815B7">
        <w:pPr>
          <w:pStyle w:val="Footer"/>
          <w:jc w:val="center"/>
          <w:rPr>
            <w:i/>
            <w:sz w:val="16"/>
            <w:szCs w:val="16"/>
          </w:rPr>
        </w:pPr>
        <w:r w:rsidRPr="0061190C">
          <w:rPr>
            <w:sz w:val="16"/>
            <w:szCs w:val="16"/>
          </w:rPr>
          <w:t xml:space="preserve">Tribal Healing to Wellness Courts: </w:t>
        </w:r>
        <w:hyperlink r:id="rId5" w:history="1">
          <w:r w:rsidRPr="0061190C">
            <w:rPr>
              <w:rStyle w:val="Hyperlink"/>
              <w:i/>
              <w:sz w:val="16"/>
              <w:szCs w:val="16"/>
            </w:rPr>
            <w:t>www.WellnessCourts.org</w:t>
          </w:r>
        </w:hyperlink>
      </w:p>
      <w:sdt>
        <w:sdtPr>
          <w:rPr>
            <w:sz w:val="16"/>
            <w:szCs w:val="16"/>
          </w:rPr>
          <w:id w:val="247621558"/>
          <w:docPartObj>
            <w:docPartGallery w:val="Page Numbers (Bottom of Page)"/>
            <w:docPartUnique/>
          </w:docPartObj>
        </w:sdtPr>
        <w:sdtEndPr>
          <w:rPr>
            <w:noProof/>
            <w:sz w:val="18"/>
          </w:rPr>
        </w:sdtEndPr>
        <w:sdtContent>
          <w:p w14:paraId="0B13F332" w14:textId="2A9F8C7F" w:rsidR="006815B7" w:rsidRPr="00DD180A" w:rsidRDefault="006815B7" w:rsidP="00DD180A">
            <w:pPr>
              <w:pStyle w:val="Footer"/>
              <w:spacing w:line="360" w:lineRule="auto"/>
              <w:jc w:val="center"/>
              <w:rPr>
                <w:sz w:val="28"/>
              </w:rPr>
            </w:pPr>
            <w:r w:rsidRPr="0061190C">
              <w:rPr>
                <w:sz w:val="18"/>
                <w:szCs w:val="16"/>
              </w:rPr>
              <w:fldChar w:fldCharType="begin"/>
            </w:r>
            <w:r w:rsidRPr="0061190C">
              <w:rPr>
                <w:sz w:val="18"/>
                <w:szCs w:val="16"/>
              </w:rPr>
              <w:instrText xml:space="preserve"> PAGE   \* MERGEFORMAT </w:instrText>
            </w:r>
            <w:r w:rsidRPr="0061190C">
              <w:rPr>
                <w:sz w:val="18"/>
                <w:szCs w:val="16"/>
              </w:rPr>
              <w:fldChar w:fldCharType="separate"/>
            </w:r>
            <w:r w:rsidR="00B66576">
              <w:rPr>
                <w:noProof/>
                <w:sz w:val="18"/>
                <w:szCs w:val="16"/>
              </w:rPr>
              <w:t>1</w:t>
            </w:r>
            <w:r w:rsidRPr="0061190C">
              <w:rPr>
                <w:noProof/>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4F663" w14:textId="77777777" w:rsidR="00080B12" w:rsidRDefault="00080B12" w:rsidP="00BB2E8C">
      <w:r>
        <w:separator/>
      </w:r>
    </w:p>
  </w:footnote>
  <w:footnote w:type="continuationSeparator" w:id="0">
    <w:p w14:paraId="085339DD" w14:textId="77777777" w:rsidR="00080B12" w:rsidRDefault="00080B12" w:rsidP="00BB2E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23EF9" w14:textId="5E0A2CD2" w:rsidR="0092296F" w:rsidRDefault="00B66576" w:rsidP="0092296F">
    <w:pPr>
      <w:rPr>
        <w:b/>
        <w:sz w:val="28"/>
      </w:rPr>
    </w:pPr>
    <w:r w:rsidRPr="00B66576">
      <w:rPr>
        <w:b/>
        <w:noProof/>
        <w:sz w:val="28"/>
      </w:rPr>
      <w:drawing>
        <wp:anchor distT="0" distB="0" distL="114300" distR="114300" simplePos="0" relativeHeight="251673600" behindDoc="0" locked="0" layoutInCell="1" allowOverlap="1" wp14:anchorId="47664B21" wp14:editId="63C716EC">
          <wp:simplePos x="0" y="0"/>
          <wp:positionH relativeFrom="column">
            <wp:posOffset>5238115</wp:posOffset>
          </wp:positionH>
          <wp:positionV relativeFrom="paragraph">
            <wp:posOffset>-76200</wp:posOffset>
          </wp:positionV>
          <wp:extent cx="1097280" cy="1042416"/>
          <wp:effectExtent l="38100" t="38100" r="45720" b="43815"/>
          <wp:wrapNone/>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097280" cy="1042416"/>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14:paraId="28B2B64D" w14:textId="6A730336" w:rsidR="0092296F" w:rsidRDefault="0092296F" w:rsidP="0092296F">
    <w:pPr>
      <w:rPr>
        <w:b/>
        <w:sz w:val="28"/>
      </w:rPr>
    </w:pPr>
  </w:p>
  <w:p w14:paraId="5C8EE93C" w14:textId="236772B2" w:rsidR="0092296F" w:rsidRDefault="0092296F" w:rsidP="0092296F">
    <w:pPr>
      <w:rPr>
        <w:b/>
        <w:sz w:val="28"/>
      </w:rPr>
    </w:pPr>
  </w:p>
  <w:p w14:paraId="57DED4BD" w14:textId="77777777" w:rsidR="0092296F" w:rsidRDefault="0092296F" w:rsidP="0092296F">
    <w:pPr>
      <w:rPr>
        <w:b/>
        <w:sz w:val="28"/>
      </w:rPr>
    </w:pPr>
  </w:p>
  <w:p w14:paraId="4CDDBD04" w14:textId="1D79F02C" w:rsidR="0092296F" w:rsidRDefault="0092296F" w:rsidP="0092296F">
    <w:pPr>
      <w:rPr>
        <w:b/>
        <w:sz w:val="28"/>
      </w:rPr>
    </w:pPr>
  </w:p>
  <w:p w14:paraId="1FBCA3D6" w14:textId="30C32F19" w:rsidR="0092296F" w:rsidRDefault="0092296F" w:rsidP="0092296F">
    <w:pPr>
      <w:jc w:val="center"/>
      <w:rPr>
        <w:b/>
        <w:sz w:val="28"/>
      </w:rPr>
    </w:pPr>
    <w:r>
      <w:rPr>
        <w:b/>
        <w:sz w:val="28"/>
      </w:rPr>
      <w:t>August 22-23, 2019</w:t>
    </w:r>
    <w:r>
      <w:rPr>
        <w:b/>
        <w:sz w:val="28"/>
      </w:rPr>
      <w:br/>
      <w:t>Hilton Garden Inn Missoula</w:t>
    </w:r>
    <w:r>
      <w:rPr>
        <w:b/>
        <w:sz w:val="28"/>
      </w:rPr>
      <w:br/>
      <w:t>Missoula, MT</w:t>
    </w:r>
  </w:p>
  <w:p w14:paraId="789A6B39" w14:textId="76BE1BE2" w:rsidR="00A51E75" w:rsidRDefault="00A51E75" w:rsidP="00A51E75">
    <w:pPr>
      <w:pStyle w:val="NoSpacing"/>
    </w:pPr>
  </w:p>
  <w:p w14:paraId="7640B757" w14:textId="26DC4F56" w:rsidR="00A51E75" w:rsidRPr="00A51E75" w:rsidRDefault="00A51E75" w:rsidP="00A51E75">
    <w:pPr>
      <w:pStyle w:val="NoSpacing"/>
      <w:jc w:val="center"/>
      <w:rPr>
        <w:b/>
        <w:sz w:val="28"/>
      </w:rPr>
    </w:pPr>
    <w:r w:rsidRPr="00A51E75">
      <w:rPr>
        <w:b/>
        <w:sz w:val="28"/>
      </w:rPr>
      <w:t>Presenter Biographies</w:t>
    </w:r>
  </w:p>
  <w:p w14:paraId="56712EFE" w14:textId="77016BE2" w:rsidR="00105226" w:rsidRDefault="00440F58" w:rsidP="00BA2D71">
    <w:pPr>
      <w:pStyle w:val="NoSpacing"/>
      <w:jc w:val="center"/>
    </w:pPr>
    <w:r w:rsidRPr="00440F58">
      <w:rPr>
        <w:noProof/>
      </w:rPr>
      <w:drawing>
        <wp:anchor distT="0" distB="0" distL="114300" distR="114300" simplePos="0" relativeHeight="251662336" behindDoc="1" locked="0" layoutInCell="1" allowOverlap="1" wp14:anchorId="1F9FB9CF" wp14:editId="4A76F645">
          <wp:simplePos x="0" y="0"/>
          <wp:positionH relativeFrom="column">
            <wp:posOffset>-374650</wp:posOffset>
          </wp:positionH>
          <wp:positionV relativeFrom="page">
            <wp:posOffset>361950</wp:posOffset>
          </wp:positionV>
          <wp:extent cx="1097280" cy="1042035"/>
          <wp:effectExtent l="38100" t="38100" r="45720" b="43815"/>
          <wp:wrapTight wrapText="bothSides">
            <wp:wrapPolygon edited="0">
              <wp:start x="-750" y="-790"/>
              <wp:lineTo x="-750" y="22113"/>
              <wp:lineTo x="22125" y="22113"/>
              <wp:lineTo x="22125" y="-790"/>
              <wp:lineTo x="-750" y="-79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 saving them.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1097280" cy="1042035"/>
                  </a:xfrm>
                  <a:prstGeom prst="rect">
                    <a:avLst/>
                  </a:prstGeom>
                  <a:ln w="3175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440F58">
      <w:rPr>
        <w:noProof/>
      </w:rPr>
      <mc:AlternateContent>
        <mc:Choice Requires="wps">
          <w:drawing>
            <wp:anchor distT="45720" distB="45720" distL="114300" distR="114300" simplePos="0" relativeHeight="251661312" behindDoc="1" locked="0" layoutInCell="1" allowOverlap="1" wp14:anchorId="1790D140" wp14:editId="2D97D8DD">
              <wp:simplePos x="0" y="0"/>
              <wp:positionH relativeFrom="column">
                <wp:posOffset>697230</wp:posOffset>
              </wp:positionH>
              <wp:positionV relativeFrom="page">
                <wp:posOffset>382270</wp:posOffset>
              </wp:positionV>
              <wp:extent cx="4527550" cy="1009650"/>
              <wp:effectExtent l="0" t="0" r="25400" b="19050"/>
              <wp:wrapTight wrapText="bothSides">
                <wp:wrapPolygon edited="0">
                  <wp:start x="0" y="0"/>
                  <wp:lineTo x="0" y="21600"/>
                  <wp:lineTo x="21630" y="21600"/>
                  <wp:lineTo x="2163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0" cy="1009650"/>
                      </a:xfrm>
                      <a:prstGeom prst="rect">
                        <a:avLst/>
                      </a:prstGeom>
                      <a:gradFill flip="none" rotWithShape="1">
                        <a:gsLst>
                          <a:gs pos="0">
                            <a:srgbClr val="F04E2E">
                              <a:shade val="30000"/>
                              <a:satMod val="115000"/>
                            </a:srgbClr>
                          </a:gs>
                          <a:gs pos="50000">
                            <a:srgbClr val="F04E2E">
                              <a:shade val="67500"/>
                              <a:satMod val="115000"/>
                            </a:srgbClr>
                          </a:gs>
                          <a:gs pos="100000">
                            <a:srgbClr val="F04E2E">
                              <a:shade val="100000"/>
                              <a:satMod val="115000"/>
                            </a:srgbClr>
                          </a:gs>
                        </a:gsLst>
                        <a:lin ang="5400000" scaled="1"/>
                        <a:tileRect/>
                      </a:gradFill>
                      <a:ln/>
                    </wps:spPr>
                    <wps:style>
                      <a:lnRef idx="2">
                        <a:schemeClr val="accent2">
                          <a:shade val="50000"/>
                        </a:schemeClr>
                      </a:lnRef>
                      <a:fillRef idx="1">
                        <a:schemeClr val="accent2"/>
                      </a:fillRef>
                      <a:effectRef idx="0">
                        <a:schemeClr val="accent2"/>
                      </a:effectRef>
                      <a:fontRef idx="minor">
                        <a:schemeClr val="lt1"/>
                      </a:fontRef>
                    </wps:style>
                    <wps:txbx>
                      <w:txbxContent>
                        <w:p w14:paraId="5BF53932" w14:textId="77777777" w:rsidR="00440F58" w:rsidRDefault="00440F58" w:rsidP="00440F58">
                          <w:pPr>
                            <w:pStyle w:val="NoSpacing"/>
                            <w:jc w:val="center"/>
                            <w:rPr>
                              <w:i/>
                              <w:color w:val="FFFFFF" w:themeColor="background1"/>
                              <w:sz w:val="28"/>
                            </w:rPr>
                          </w:pPr>
                        </w:p>
                        <w:p w14:paraId="660F0906" w14:textId="77777777" w:rsidR="0092296F" w:rsidRDefault="0092296F" w:rsidP="0092296F">
                          <w:pPr>
                            <w:pStyle w:val="NoSpacing"/>
                            <w:jc w:val="center"/>
                            <w:rPr>
                              <w:b/>
                              <w:color w:val="FFFFFF" w:themeColor="background1"/>
                              <w:sz w:val="40"/>
                            </w:rPr>
                          </w:pPr>
                          <w:r>
                            <w:rPr>
                              <w:b/>
                              <w:color w:val="FFFFFF" w:themeColor="background1"/>
                              <w:sz w:val="40"/>
                            </w:rPr>
                            <w:t>Tribal Veteran</w:t>
                          </w:r>
                        </w:p>
                        <w:p w14:paraId="39DC684C" w14:textId="69DA1307" w:rsidR="00440F58" w:rsidRDefault="0092296F" w:rsidP="00B66576">
                          <w:pPr>
                            <w:jc w:val="center"/>
                          </w:pPr>
                          <w:r w:rsidRPr="00400AFE">
                            <w:rPr>
                              <w:b/>
                              <w:color w:val="FFFFFF" w:themeColor="background1"/>
                              <w:sz w:val="40"/>
                            </w:rPr>
                            <w:t xml:space="preserve">Healing to Wellness Court </w:t>
                          </w:r>
                          <w:r>
                            <w:rPr>
                              <w:b/>
                              <w:color w:val="FFFFFF" w:themeColor="background1"/>
                              <w:sz w:val="40"/>
                            </w:rPr>
                            <w:t>Symposium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0D140" id="_x0000_t202" coordsize="21600,21600" o:spt="202" path="m,l,21600r21600,l21600,xe">
              <v:stroke joinstyle="miter"/>
              <v:path gradientshapeok="t" o:connecttype="rect"/>
            </v:shapetype>
            <v:shape id="Text Box 2" o:spid="_x0000_s1026" type="#_x0000_t202" style="position:absolute;left:0;text-align:left;margin-left:54.9pt;margin-top:30.1pt;width:356.5pt;height:7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" fillcolor="#95240e" strokecolor="#823b0b [1605]" strokeweight="1pt">
              <v:fill color2="#ff441f" rotate="t" colors="0 #95240e;.5 #d63819;1 #ff441f" focus="100%" type="gradient"/>
              <v:textbox>
                <w:txbxContent>
                  <w:p w14:paraId="5BF53932" w14:textId="77777777" w:rsidR="00440F58" w:rsidRDefault="00440F58" w:rsidP="00440F58">
                    <w:pPr>
                      <w:pStyle w:val="NoSpacing"/>
                      <w:jc w:val="center"/>
                      <w:rPr>
                        <w:i/>
                        <w:color w:val="FFFFFF" w:themeColor="background1"/>
                        <w:sz w:val="28"/>
                      </w:rPr>
                    </w:pPr>
                  </w:p>
                  <w:p w14:paraId="660F0906" w14:textId="77777777" w:rsidR="0092296F" w:rsidRDefault="0092296F" w:rsidP="0092296F">
                    <w:pPr>
                      <w:pStyle w:val="NoSpacing"/>
                      <w:jc w:val="center"/>
                      <w:rPr>
                        <w:b/>
                        <w:color w:val="FFFFFF" w:themeColor="background1"/>
                        <w:sz w:val="40"/>
                      </w:rPr>
                    </w:pPr>
                    <w:r>
                      <w:rPr>
                        <w:b/>
                        <w:color w:val="FFFFFF" w:themeColor="background1"/>
                        <w:sz w:val="40"/>
                      </w:rPr>
                      <w:t>Tribal Veteran</w:t>
                    </w:r>
                  </w:p>
                  <w:p w14:paraId="39DC684C" w14:textId="69DA1307" w:rsidR="00440F58" w:rsidRDefault="0092296F" w:rsidP="00B66576">
                    <w:pPr>
                      <w:jc w:val="center"/>
                    </w:pPr>
                    <w:r w:rsidRPr="00400AFE">
                      <w:rPr>
                        <w:b/>
                        <w:color w:val="FFFFFF" w:themeColor="background1"/>
                        <w:sz w:val="40"/>
                      </w:rPr>
                      <w:t xml:space="preserve">Healing to Wellness Court </w:t>
                    </w:r>
                    <w:r>
                      <w:rPr>
                        <w:b/>
                        <w:color w:val="FFFFFF" w:themeColor="background1"/>
                        <w:sz w:val="40"/>
                      </w:rPr>
                      <w:t>Symposium</w:t>
                    </w:r>
                  </w:p>
                </w:txbxContent>
              </v:textbox>
              <w10:wrap type="tight"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A750" w14:textId="5FFB2904" w:rsidR="00440F58" w:rsidRDefault="0092296F">
    <w:pPr>
      <w:pStyle w:val="Header"/>
    </w:pPr>
    <w:r w:rsidRPr="0092296F">
      <w:rPr>
        <w:noProof/>
      </w:rPr>
      <w:drawing>
        <wp:anchor distT="0" distB="0" distL="114300" distR="114300" simplePos="0" relativeHeight="251671552" behindDoc="0" locked="0" layoutInCell="1" allowOverlap="1" wp14:anchorId="301D56BE" wp14:editId="59D79F08">
          <wp:simplePos x="0" y="0"/>
          <wp:positionH relativeFrom="column">
            <wp:posOffset>5234940</wp:posOffset>
          </wp:positionH>
          <wp:positionV relativeFrom="paragraph">
            <wp:posOffset>-114300</wp:posOffset>
          </wp:positionV>
          <wp:extent cx="1097280" cy="1042416"/>
          <wp:effectExtent l="38100" t="38100" r="45720" b="43815"/>
          <wp:wrapNone/>
          <wp:docPr id="1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97280" cy="1042416"/>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00440F58" w:rsidRPr="00D81E1C">
      <w:rPr>
        <w:noProof/>
      </w:rPr>
      <mc:AlternateContent>
        <mc:Choice Requires="wps">
          <w:drawing>
            <wp:anchor distT="45720" distB="45720" distL="114300" distR="114300" simplePos="0" relativeHeight="251665408" behindDoc="1" locked="0" layoutInCell="1" allowOverlap="1" wp14:anchorId="65395BF4" wp14:editId="40750278">
              <wp:simplePos x="0" y="0"/>
              <wp:positionH relativeFrom="column">
                <wp:posOffset>690880</wp:posOffset>
              </wp:positionH>
              <wp:positionV relativeFrom="page">
                <wp:posOffset>336550</wp:posOffset>
              </wp:positionV>
              <wp:extent cx="4527550" cy="1009650"/>
              <wp:effectExtent l="0" t="0" r="25400" b="19050"/>
              <wp:wrapTight wrapText="bothSides">
                <wp:wrapPolygon edited="0">
                  <wp:start x="0" y="0"/>
                  <wp:lineTo x="0" y="21600"/>
                  <wp:lineTo x="21630" y="21600"/>
                  <wp:lineTo x="2163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0" cy="1009650"/>
                      </a:xfrm>
                      <a:prstGeom prst="rect">
                        <a:avLst/>
                      </a:prstGeom>
                      <a:gradFill flip="none" rotWithShape="1">
                        <a:gsLst>
                          <a:gs pos="0">
                            <a:srgbClr val="F04E2E">
                              <a:shade val="30000"/>
                              <a:satMod val="115000"/>
                            </a:srgbClr>
                          </a:gs>
                          <a:gs pos="50000">
                            <a:srgbClr val="F04E2E">
                              <a:shade val="67500"/>
                              <a:satMod val="115000"/>
                            </a:srgbClr>
                          </a:gs>
                          <a:gs pos="100000">
                            <a:srgbClr val="F04E2E">
                              <a:shade val="100000"/>
                              <a:satMod val="115000"/>
                            </a:srgbClr>
                          </a:gs>
                        </a:gsLst>
                        <a:lin ang="5400000" scaled="1"/>
                        <a:tileRect/>
                      </a:gradFill>
                      <a:ln/>
                    </wps:spPr>
                    <wps:style>
                      <a:lnRef idx="2">
                        <a:schemeClr val="accent2">
                          <a:shade val="50000"/>
                        </a:schemeClr>
                      </a:lnRef>
                      <a:fillRef idx="1">
                        <a:schemeClr val="accent2"/>
                      </a:fillRef>
                      <a:effectRef idx="0">
                        <a:schemeClr val="accent2"/>
                      </a:effectRef>
                      <a:fontRef idx="minor">
                        <a:schemeClr val="lt1"/>
                      </a:fontRef>
                    </wps:style>
                    <wps:txbx>
                      <w:txbxContent>
                        <w:p w14:paraId="0DFB2249" w14:textId="77777777" w:rsidR="00440F58" w:rsidRDefault="00440F58" w:rsidP="00440F58">
                          <w:pPr>
                            <w:pStyle w:val="NoSpacing"/>
                            <w:jc w:val="center"/>
                            <w:rPr>
                              <w:i/>
                              <w:color w:val="FFFFFF" w:themeColor="background1"/>
                              <w:sz w:val="28"/>
                            </w:rPr>
                          </w:pPr>
                        </w:p>
                        <w:p w14:paraId="2AE4F29E" w14:textId="77777777" w:rsidR="00FF3F2A" w:rsidRDefault="00FF3F2A" w:rsidP="00440F58">
                          <w:pPr>
                            <w:pStyle w:val="NoSpacing"/>
                            <w:jc w:val="center"/>
                            <w:rPr>
                              <w:b/>
                              <w:color w:val="FFFFFF" w:themeColor="background1"/>
                              <w:sz w:val="40"/>
                            </w:rPr>
                          </w:pPr>
                          <w:r>
                            <w:rPr>
                              <w:b/>
                              <w:color w:val="FFFFFF" w:themeColor="background1"/>
                              <w:sz w:val="40"/>
                            </w:rPr>
                            <w:t>Tribal Veteran</w:t>
                          </w:r>
                        </w:p>
                        <w:p w14:paraId="33A503EF" w14:textId="15992282" w:rsidR="00440F58" w:rsidRPr="00400AFE" w:rsidRDefault="00440F58" w:rsidP="00440F58">
                          <w:pPr>
                            <w:pStyle w:val="NoSpacing"/>
                            <w:jc w:val="center"/>
                            <w:rPr>
                              <w:b/>
                              <w:color w:val="FFFFFF" w:themeColor="background1"/>
                              <w:sz w:val="40"/>
                            </w:rPr>
                          </w:pPr>
                          <w:r w:rsidRPr="00400AFE">
                            <w:rPr>
                              <w:b/>
                              <w:color w:val="FFFFFF" w:themeColor="background1"/>
                              <w:sz w:val="40"/>
                            </w:rPr>
                            <w:t xml:space="preserve">Healing to Wellness Court </w:t>
                          </w:r>
                          <w:r w:rsidR="00FF3F2A">
                            <w:rPr>
                              <w:b/>
                              <w:color w:val="FFFFFF" w:themeColor="background1"/>
                              <w:sz w:val="40"/>
                            </w:rPr>
                            <w:t>Symposium</w:t>
                          </w:r>
                        </w:p>
                        <w:p w14:paraId="5C94ACFB" w14:textId="77777777" w:rsidR="00440F58" w:rsidRDefault="00440F58" w:rsidP="00440F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95BF4" id="_x0000_t202" coordsize="21600,21600" o:spt="202" path="m,l,21600r21600,l21600,xe">
              <v:stroke joinstyle="miter"/>
              <v:path gradientshapeok="t" o:connecttype="rect"/>
            </v:shapetype>
            <v:shape id="_x0000_s1027" type="#_x0000_t202" style="position:absolute;margin-left:54.4pt;margin-top:26.5pt;width:356.5pt;height:79.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" fillcolor="#95240e" strokecolor="#823b0b [1605]" strokeweight="1pt">
              <v:fill color2="#ff441f" rotate="t" colors="0 #95240e;.5 #d63819;1 #ff441f" focus="100%" type="gradient"/>
              <v:textbox>
                <w:txbxContent>
                  <w:p w14:paraId="0DFB2249" w14:textId="77777777" w:rsidR="00440F58" w:rsidRDefault="00440F58" w:rsidP="00440F58">
                    <w:pPr>
                      <w:pStyle w:val="NoSpacing"/>
                      <w:jc w:val="center"/>
                      <w:rPr>
                        <w:i/>
                        <w:color w:val="FFFFFF" w:themeColor="background1"/>
                        <w:sz w:val="28"/>
                      </w:rPr>
                    </w:pPr>
                  </w:p>
                  <w:p w14:paraId="2AE4F29E" w14:textId="77777777" w:rsidR="00FF3F2A" w:rsidRDefault="00FF3F2A" w:rsidP="00440F58">
                    <w:pPr>
                      <w:pStyle w:val="NoSpacing"/>
                      <w:jc w:val="center"/>
                      <w:rPr>
                        <w:b/>
                        <w:color w:val="FFFFFF" w:themeColor="background1"/>
                        <w:sz w:val="40"/>
                      </w:rPr>
                    </w:pPr>
                    <w:r>
                      <w:rPr>
                        <w:b/>
                        <w:color w:val="FFFFFF" w:themeColor="background1"/>
                        <w:sz w:val="40"/>
                      </w:rPr>
                      <w:t>Tribal Veteran</w:t>
                    </w:r>
                  </w:p>
                  <w:p w14:paraId="33A503EF" w14:textId="15992282" w:rsidR="00440F58" w:rsidRPr="00400AFE" w:rsidRDefault="00440F58" w:rsidP="00440F58">
                    <w:pPr>
                      <w:pStyle w:val="NoSpacing"/>
                      <w:jc w:val="center"/>
                      <w:rPr>
                        <w:b/>
                        <w:color w:val="FFFFFF" w:themeColor="background1"/>
                        <w:sz w:val="40"/>
                      </w:rPr>
                    </w:pPr>
                    <w:r w:rsidRPr="00400AFE">
                      <w:rPr>
                        <w:b/>
                        <w:color w:val="FFFFFF" w:themeColor="background1"/>
                        <w:sz w:val="40"/>
                      </w:rPr>
                      <w:t xml:space="preserve">Healing to Wellness Court </w:t>
                    </w:r>
                    <w:r w:rsidR="00FF3F2A">
                      <w:rPr>
                        <w:b/>
                        <w:color w:val="FFFFFF" w:themeColor="background1"/>
                        <w:sz w:val="40"/>
                      </w:rPr>
                      <w:t>Symposium</w:t>
                    </w:r>
                  </w:p>
                  <w:p w14:paraId="5C94ACFB" w14:textId="77777777" w:rsidR="00440F58" w:rsidRDefault="00440F58" w:rsidP="00440F58"/>
                </w:txbxContent>
              </v:textbox>
              <w10:wrap type="tight" anchory="page"/>
            </v:shape>
          </w:pict>
        </mc:Fallback>
      </mc:AlternateContent>
    </w:r>
    <w:r w:rsidR="00440F58" w:rsidRPr="00773D71">
      <w:rPr>
        <w:bCs/>
        <w:noProof/>
      </w:rPr>
      <w:drawing>
        <wp:anchor distT="0" distB="0" distL="114300" distR="114300" simplePos="0" relativeHeight="251666432" behindDoc="1" locked="0" layoutInCell="1" allowOverlap="1" wp14:anchorId="0E97F537" wp14:editId="7DAC3AEF">
          <wp:simplePos x="0" y="0"/>
          <wp:positionH relativeFrom="column">
            <wp:posOffset>-381000</wp:posOffset>
          </wp:positionH>
          <wp:positionV relativeFrom="page">
            <wp:posOffset>323850</wp:posOffset>
          </wp:positionV>
          <wp:extent cx="1097280" cy="1042035"/>
          <wp:effectExtent l="38100" t="38100" r="45720" b="43815"/>
          <wp:wrapTight wrapText="bothSides">
            <wp:wrapPolygon edited="0">
              <wp:start x="-750" y="-790"/>
              <wp:lineTo x="-750" y="22113"/>
              <wp:lineTo x="22125" y="22113"/>
              <wp:lineTo x="22125" y="-790"/>
              <wp:lineTo x="-750" y="-79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 saving them.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1097280" cy="1042035"/>
                  </a:xfrm>
                  <a:prstGeom prst="rect">
                    <a:avLst/>
                  </a:prstGeom>
                  <a:ln w="3175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96F67"/>
    <w:multiLevelType w:val="hybridMultilevel"/>
    <w:tmpl w:val="3E9C5878"/>
    <w:lvl w:ilvl="0" w:tplc="73FC0C52">
      <w:start w:val="1"/>
      <w:numFmt w:val="decimal"/>
      <w:lvlText w:val="%1."/>
      <w:lvlJc w:val="left"/>
      <w:pPr>
        <w:ind w:left="360" w:hanging="360"/>
      </w:pPr>
      <w:rPr>
        <w:rFonts w:hint="default"/>
        <w:color w:val="auto"/>
      </w:rPr>
    </w:lvl>
    <w:lvl w:ilvl="1" w:tplc="7126401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2F2462"/>
    <w:multiLevelType w:val="hybridMultilevel"/>
    <w:tmpl w:val="CE1215B6"/>
    <w:lvl w:ilvl="0" w:tplc="94227E9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0176C5"/>
    <w:multiLevelType w:val="hybridMultilevel"/>
    <w:tmpl w:val="1B249E72"/>
    <w:lvl w:ilvl="0" w:tplc="4B462C1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F9"/>
    <w:rsid w:val="00000042"/>
    <w:rsid w:val="000163BE"/>
    <w:rsid w:val="00020B87"/>
    <w:rsid w:val="00047F1A"/>
    <w:rsid w:val="00053656"/>
    <w:rsid w:val="00077D7A"/>
    <w:rsid w:val="00080B12"/>
    <w:rsid w:val="000823E5"/>
    <w:rsid w:val="00083B8C"/>
    <w:rsid w:val="0009048F"/>
    <w:rsid w:val="000A1986"/>
    <w:rsid w:val="000B0498"/>
    <w:rsid w:val="000B63CA"/>
    <w:rsid w:val="000C2529"/>
    <w:rsid w:val="000C300A"/>
    <w:rsid w:val="000D2BB4"/>
    <w:rsid w:val="000E72F7"/>
    <w:rsid w:val="00101442"/>
    <w:rsid w:val="00105226"/>
    <w:rsid w:val="00117B44"/>
    <w:rsid w:val="00121E20"/>
    <w:rsid w:val="001366BF"/>
    <w:rsid w:val="0015215A"/>
    <w:rsid w:val="00174511"/>
    <w:rsid w:val="001746DC"/>
    <w:rsid w:val="0017628D"/>
    <w:rsid w:val="00192AF3"/>
    <w:rsid w:val="001A01A3"/>
    <w:rsid w:val="001A0BF1"/>
    <w:rsid w:val="001A76F9"/>
    <w:rsid w:val="001C18AB"/>
    <w:rsid w:val="001D77C7"/>
    <w:rsid w:val="001F370D"/>
    <w:rsid w:val="002160EE"/>
    <w:rsid w:val="00246B64"/>
    <w:rsid w:val="00272C00"/>
    <w:rsid w:val="0028611E"/>
    <w:rsid w:val="0029108C"/>
    <w:rsid w:val="002A03D0"/>
    <w:rsid w:val="002C29E2"/>
    <w:rsid w:val="002E186A"/>
    <w:rsid w:val="002E3218"/>
    <w:rsid w:val="002F38C4"/>
    <w:rsid w:val="002F7467"/>
    <w:rsid w:val="00305FDA"/>
    <w:rsid w:val="0031223D"/>
    <w:rsid w:val="00314916"/>
    <w:rsid w:val="00325613"/>
    <w:rsid w:val="00333C49"/>
    <w:rsid w:val="0034326A"/>
    <w:rsid w:val="00354F66"/>
    <w:rsid w:val="00363824"/>
    <w:rsid w:val="0036717A"/>
    <w:rsid w:val="0037333C"/>
    <w:rsid w:val="00383DF2"/>
    <w:rsid w:val="0039095C"/>
    <w:rsid w:val="003B652F"/>
    <w:rsid w:val="003D4E37"/>
    <w:rsid w:val="003F73C4"/>
    <w:rsid w:val="00400AFE"/>
    <w:rsid w:val="004031B8"/>
    <w:rsid w:val="00413DCE"/>
    <w:rsid w:val="00416C39"/>
    <w:rsid w:val="004219C5"/>
    <w:rsid w:val="00440F58"/>
    <w:rsid w:val="00451532"/>
    <w:rsid w:val="00453840"/>
    <w:rsid w:val="0048782C"/>
    <w:rsid w:val="004A1786"/>
    <w:rsid w:val="004A6128"/>
    <w:rsid w:val="004C4D3D"/>
    <w:rsid w:val="004C5BCB"/>
    <w:rsid w:val="004F123D"/>
    <w:rsid w:val="004F24D5"/>
    <w:rsid w:val="0050099C"/>
    <w:rsid w:val="005010F7"/>
    <w:rsid w:val="00512203"/>
    <w:rsid w:val="00520910"/>
    <w:rsid w:val="005215CE"/>
    <w:rsid w:val="00530CD9"/>
    <w:rsid w:val="005446D2"/>
    <w:rsid w:val="00550B1F"/>
    <w:rsid w:val="00553868"/>
    <w:rsid w:val="00553C4C"/>
    <w:rsid w:val="00556D11"/>
    <w:rsid w:val="00564642"/>
    <w:rsid w:val="005772F4"/>
    <w:rsid w:val="005944D2"/>
    <w:rsid w:val="005963C4"/>
    <w:rsid w:val="005C6AE7"/>
    <w:rsid w:val="0061190C"/>
    <w:rsid w:val="00617A64"/>
    <w:rsid w:val="00625762"/>
    <w:rsid w:val="0063669B"/>
    <w:rsid w:val="006539E7"/>
    <w:rsid w:val="0066370F"/>
    <w:rsid w:val="00663866"/>
    <w:rsid w:val="00671751"/>
    <w:rsid w:val="00671DC4"/>
    <w:rsid w:val="00674C55"/>
    <w:rsid w:val="00675ED7"/>
    <w:rsid w:val="00676B00"/>
    <w:rsid w:val="006815B7"/>
    <w:rsid w:val="00683685"/>
    <w:rsid w:val="00696188"/>
    <w:rsid w:val="006A0A03"/>
    <w:rsid w:val="006A59D9"/>
    <w:rsid w:val="006B57D0"/>
    <w:rsid w:val="006C5E75"/>
    <w:rsid w:val="006C68C3"/>
    <w:rsid w:val="006C6D2E"/>
    <w:rsid w:val="006E4599"/>
    <w:rsid w:val="006E6836"/>
    <w:rsid w:val="006E72D1"/>
    <w:rsid w:val="006F6A24"/>
    <w:rsid w:val="00726A08"/>
    <w:rsid w:val="007340F9"/>
    <w:rsid w:val="007368F9"/>
    <w:rsid w:val="00741846"/>
    <w:rsid w:val="00745E38"/>
    <w:rsid w:val="0075199D"/>
    <w:rsid w:val="00752203"/>
    <w:rsid w:val="00760E96"/>
    <w:rsid w:val="00773776"/>
    <w:rsid w:val="00773D71"/>
    <w:rsid w:val="00790A50"/>
    <w:rsid w:val="007A1AB6"/>
    <w:rsid w:val="007A68E7"/>
    <w:rsid w:val="007B1DF9"/>
    <w:rsid w:val="007B2796"/>
    <w:rsid w:val="007B4A33"/>
    <w:rsid w:val="007D056F"/>
    <w:rsid w:val="007E6045"/>
    <w:rsid w:val="007F6C0C"/>
    <w:rsid w:val="0084306A"/>
    <w:rsid w:val="00845D73"/>
    <w:rsid w:val="00857FFE"/>
    <w:rsid w:val="00876057"/>
    <w:rsid w:val="00877C09"/>
    <w:rsid w:val="00885FAA"/>
    <w:rsid w:val="008A3648"/>
    <w:rsid w:val="008A4710"/>
    <w:rsid w:val="008C14B8"/>
    <w:rsid w:val="008C5CD2"/>
    <w:rsid w:val="008D5A45"/>
    <w:rsid w:val="008E08EA"/>
    <w:rsid w:val="008E5E46"/>
    <w:rsid w:val="008F0B23"/>
    <w:rsid w:val="008F799D"/>
    <w:rsid w:val="009122C6"/>
    <w:rsid w:val="0092296F"/>
    <w:rsid w:val="009270E9"/>
    <w:rsid w:val="00927F87"/>
    <w:rsid w:val="00933562"/>
    <w:rsid w:val="00935FA5"/>
    <w:rsid w:val="00941398"/>
    <w:rsid w:val="00947C23"/>
    <w:rsid w:val="00965EEE"/>
    <w:rsid w:val="009745B8"/>
    <w:rsid w:val="009843DD"/>
    <w:rsid w:val="009968C0"/>
    <w:rsid w:val="009A2A0C"/>
    <w:rsid w:val="009A6DA9"/>
    <w:rsid w:val="009B014D"/>
    <w:rsid w:val="009D2446"/>
    <w:rsid w:val="00A056DF"/>
    <w:rsid w:val="00A1009F"/>
    <w:rsid w:val="00A257DB"/>
    <w:rsid w:val="00A4304A"/>
    <w:rsid w:val="00A45584"/>
    <w:rsid w:val="00A45E2B"/>
    <w:rsid w:val="00A51E75"/>
    <w:rsid w:val="00A56C6E"/>
    <w:rsid w:val="00A612FC"/>
    <w:rsid w:val="00A651A5"/>
    <w:rsid w:val="00A87F5D"/>
    <w:rsid w:val="00AA0D14"/>
    <w:rsid w:val="00AB0D91"/>
    <w:rsid w:val="00AB44AB"/>
    <w:rsid w:val="00AD0BD2"/>
    <w:rsid w:val="00AD1C99"/>
    <w:rsid w:val="00AD327D"/>
    <w:rsid w:val="00AF331F"/>
    <w:rsid w:val="00B12BA2"/>
    <w:rsid w:val="00B21A6E"/>
    <w:rsid w:val="00B23C63"/>
    <w:rsid w:val="00B27F81"/>
    <w:rsid w:val="00B32A32"/>
    <w:rsid w:val="00B35BCB"/>
    <w:rsid w:val="00B45C77"/>
    <w:rsid w:val="00B66576"/>
    <w:rsid w:val="00B738A6"/>
    <w:rsid w:val="00B747B4"/>
    <w:rsid w:val="00BA2D71"/>
    <w:rsid w:val="00BA63D9"/>
    <w:rsid w:val="00BB2E8C"/>
    <w:rsid w:val="00BF5211"/>
    <w:rsid w:val="00C0788F"/>
    <w:rsid w:val="00C22D9F"/>
    <w:rsid w:val="00C31E17"/>
    <w:rsid w:val="00C42614"/>
    <w:rsid w:val="00C44EDB"/>
    <w:rsid w:val="00C67154"/>
    <w:rsid w:val="00C67B1E"/>
    <w:rsid w:val="00C70AD0"/>
    <w:rsid w:val="00C7715B"/>
    <w:rsid w:val="00CA0E17"/>
    <w:rsid w:val="00CA23F4"/>
    <w:rsid w:val="00CA673B"/>
    <w:rsid w:val="00CD01B0"/>
    <w:rsid w:val="00CD3C27"/>
    <w:rsid w:val="00D02AC5"/>
    <w:rsid w:val="00D038B0"/>
    <w:rsid w:val="00D32219"/>
    <w:rsid w:val="00D55083"/>
    <w:rsid w:val="00D626E6"/>
    <w:rsid w:val="00D62A53"/>
    <w:rsid w:val="00D65268"/>
    <w:rsid w:val="00D75C06"/>
    <w:rsid w:val="00D81E1C"/>
    <w:rsid w:val="00D92FBF"/>
    <w:rsid w:val="00DA6077"/>
    <w:rsid w:val="00DB2269"/>
    <w:rsid w:val="00DD180A"/>
    <w:rsid w:val="00E05162"/>
    <w:rsid w:val="00E139A7"/>
    <w:rsid w:val="00E26321"/>
    <w:rsid w:val="00E53CDF"/>
    <w:rsid w:val="00E64FB6"/>
    <w:rsid w:val="00E80157"/>
    <w:rsid w:val="00E9261A"/>
    <w:rsid w:val="00EA6AED"/>
    <w:rsid w:val="00EB5BED"/>
    <w:rsid w:val="00ED3D6F"/>
    <w:rsid w:val="00ED40FA"/>
    <w:rsid w:val="00EE5367"/>
    <w:rsid w:val="00EE6818"/>
    <w:rsid w:val="00F021FB"/>
    <w:rsid w:val="00F2024C"/>
    <w:rsid w:val="00F268ED"/>
    <w:rsid w:val="00F27204"/>
    <w:rsid w:val="00F305D4"/>
    <w:rsid w:val="00F50976"/>
    <w:rsid w:val="00F50D5E"/>
    <w:rsid w:val="00F56AC0"/>
    <w:rsid w:val="00F63F24"/>
    <w:rsid w:val="00F64662"/>
    <w:rsid w:val="00F80DF9"/>
    <w:rsid w:val="00F8690F"/>
    <w:rsid w:val="00F90A7F"/>
    <w:rsid w:val="00F972F2"/>
    <w:rsid w:val="00FE221C"/>
    <w:rsid w:val="00FF005B"/>
    <w:rsid w:val="00FF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4B3EA"/>
  <w15:chartTrackingRefBased/>
  <w15:docId w15:val="{527A841E-A6E0-457F-9E20-E0E597A3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CA0E17"/>
    <w:pPr>
      <w:spacing w:after="0" w:line="240" w:lineRule="auto"/>
    </w:pPr>
    <w:rPr>
      <w:sz w:val="24"/>
    </w:rPr>
  </w:style>
  <w:style w:type="paragraph" w:styleId="Heading1">
    <w:name w:val="heading 1"/>
    <w:basedOn w:val="Normal"/>
    <w:next w:val="Normal"/>
    <w:link w:val="Heading1Char"/>
    <w:uiPriority w:val="9"/>
    <w:qFormat/>
    <w:rsid w:val="007368F9"/>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F73C4"/>
    <w:pPr>
      <w:keepNext/>
      <w:keepLines/>
      <w:spacing w:before="40"/>
      <w:jc w:val="center"/>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rsid w:val="009843D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D9F"/>
    <w:pPr>
      <w:spacing w:after="0" w:line="240" w:lineRule="auto"/>
    </w:pPr>
    <w:rPr>
      <w:sz w:val="24"/>
    </w:rPr>
  </w:style>
  <w:style w:type="character" w:customStyle="1" w:styleId="Heading1Char">
    <w:name w:val="Heading 1 Char"/>
    <w:basedOn w:val="DefaultParagraphFont"/>
    <w:link w:val="Heading1"/>
    <w:uiPriority w:val="9"/>
    <w:rsid w:val="007368F9"/>
    <w:rPr>
      <w:rFonts w:eastAsiaTheme="majorEastAsia" w:cstheme="majorBidi"/>
      <w:b/>
      <w:sz w:val="32"/>
      <w:szCs w:val="32"/>
    </w:rPr>
  </w:style>
  <w:style w:type="character" w:customStyle="1" w:styleId="Heading2Char">
    <w:name w:val="Heading 2 Char"/>
    <w:basedOn w:val="DefaultParagraphFont"/>
    <w:link w:val="Heading2"/>
    <w:uiPriority w:val="9"/>
    <w:rsid w:val="003F73C4"/>
    <w:rPr>
      <w:rFonts w:eastAsiaTheme="majorEastAsia" w:cstheme="majorBidi"/>
      <w:b/>
      <w:sz w:val="32"/>
      <w:szCs w:val="26"/>
    </w:rPr>
  </w:style>
  <w:style w:type="paragraph" w:styleId="Header">
    <w:name w:val="header"/>
    <w:basedOn w:val="Normal"/>
    <w:link w:val="HeaderChar"/>
    <w:uiPriority w:val="99"/>
    <w:unhideWhenUsed/>
    <w:rsid w:val="00BB2E8C"/>
    <w:pPr>
      <w:tabs>
        <w:tab w:val="center" w:pos="4680"/>
        <w:tab w:val="right" w:pos="9360"/>
      </w:tabs>
    </w:pPr>
  </w:style>
  <w:style w:type="character" w:customStyle="1" w:styleId="HeaderChar">
    <w:name w:val="Header Char"/>
    <w:basedOn w:val="DefaultParagraphFont"/>
    <w:link w:val="Header"/>
    <w:uiPriority w:val="99"/>
    <w:rsid w:val="00BB2E8C"/>
    <w:rPr>
      <w:sz w:val="24"/>
    </w:rPr>
  </w:style>
  <w:style w:type="paragraph" w:styleId="Footer">
    <w:name w:val="footer"/>
    <w:basedOn w:val="Normal"/>
    <w:link w:val="FooterChar"/>
    <w:uiPriority w:val="99"/>
    <w:unhideWhenUsed/>
    <w:rsid w:val="00BB2E8C"/>
    <w:pPr>
      <w:tabs>
        <w:tab w:val="center" w:pos="4680"/>
        <w:tab w:val="right" w:pos="9360"/>
      </w:tabs>
    </w:pPr>
  </w:style>
  <w:style w:type="character" w:customStyle="1" w:styleId="FooterChar">
    <w:name w:val="Footer Char"/>
    <w:basedOn w:val="DefaultParagraphFont"/>
    <w:link w:val="Footer"/>
    <w:uiPriority w:val="99"/>
    <w:rsid w:val="00BB2E8C"/>
    <w:rPr>
      <w:sz w:val="24"/>
    </w:rPr>
  </w:style>
  <w:style w:type="character" w:styleId="Hyperlink">
    <w:name w:val="Hyperlink"/>
    <w:basedOn w:val="DefaultParagraphFont"/>
    <w:uiPriority w:val="99"/>
    <w:unhideWhenUsed/>
    <w:rsid w:val="00F305D4"/>
    <w:rPr>
      <w:color w:val="0563C1" w:themeColor="hyperlink"/>
      <w:u w:val="single"/>
    </w:rPr>
  </w:style>
  <w:style w:type="paragraph" w:styleId="BalloonText">
    <w:name w:val="Balloon Text"/>
    <w:basedOn w:val="Normal"/>
    <w:link w:val="BalloonTextChar"/>
    <w:uiPriority w:val="99"/>
    <w:semiHidden/>
    <w:unhideWhenUsed/>
    <w:rsid w:val="00CA0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E17"/>
    <w:rPr>
      <w:rFonts w:ascii="Segoe UI" w:hAnsi="Segoe UI" w:cs="Segoe UI"/>
      <w:sz w:val="18"/>
      <w:szCs w:val="18"/>
    </w:rPr>
  </w:style>
  <w:style w:type="table" w:styleId="TableGrid">
    <w:name w:val="Table Grid"/>
    <w:basedOn w:val="TableNormal"/>
    <w:uiPriority w:val="59"/>
    <w:rsid w:val="00AF33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0B1F"/>
    <w:pPr>
      <w:ind w:left="720"/>
      <w:contextualSpacing/>
    </w:pPr>
  </w:style>
  <w:style w:type="character" w:customStyle="1" w:styleId="Heading3Char">
    <w:name w:val="Heading 3 Char"/>
    <w:basedOn w:val="DefaultParagraphFont"/>
    <w:link w:val="Heading3"/>
    <w:uiPriority w:val="9"/>
    <w:semiHidden/>
    <w:rsid w:val="009843D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45C77"/>
    <w:rPr>
      <w:b/>
      <w:bCs/>
    </w:rPr>
  </w:style>
  <w:style w:type="character" w:styleId="Emphasis">
    <w:name w:val="Emphasis"/>
    <w:basedOn w:val="DefaultParagraphFont"/>
    <w:uiPriority w:val="20"/>
    <w:qFormat/>
    <w:rsid w:val="00CA673B"/>
    <w:rPr>
      <w:i/>
      <w:iCs/>
    </w:rPr>
  </w:style>
  <w:style w:type="paragraph" w:styleId="NormalWeb">
    <w:name w:val="Normal (Web)"/>
    <w:basedOn w:val="Normal"/>
    <w:uiPriority w:val="99"/>
    <w:unhideWhenUsed/>
    <w:rsid w:val="00CA673B"/>
    <w:pPr>
      <w:spacing w:before="100" w:beforeAutospacing="1" w:after="100" w:afterAutospacing="1"/>
    </w:pPr>
    <w:rPr>
      <w:rFonts w:ascii="Times New Roman" w:eastAsia="Times New Roman" w:hAnsi="Times New Roman" w:cs="Times New Roman"/>
      <w:szCs w:val="24"/>
    </w:rPr>
  </w:style>
  <w:style w:type="character" w:customStyle="1" w:styleId="bio-name">
    <w:name w:val="bio-name"/>
    <w:basedOn w:val="DefaultParagraphFont"/>
    <w:rsid w:val="00A51E75"/>
  </w:style>
  <w:style w:type="character" w:customStyle="1" w:styleId="bio-office">
    <w:name w:val="bio-office"/>
    <w:basedOn w:val="DefaultParagraphFont"/>
    <w:rsid w:val="00A51E75"/>
  </w:style>
  <w:style w:type="paragraph" w:styleId="Title">
    <w:name w:val="Title"/>
    <w:basedOn w:val="Normal"/>
    <w:link w:val="TitleChar"/>
    <w:qFormat/>
    <w:rsid w:val="0029108C"/>
    <w:pPr>
      <w:jc w:val="center"/>
    </w:pPr>
    <w:rPr>
      <w:rFonts w:ascii="Arial" w:eastAsia="Times New Roman" w:hAnsi="Arial" w:cs="Times New Roman"/>
      <w:b/>
      <w:bCs/>
      <w:sz w:val="32"/>
      <w:szCs w:val="24"/>
    </w:rPr>
  </w:style>
  <w:style w:type="character" w:customStyle="1" w:styleId="TitleChar">
    <w:name w:val="Title Char"/>
    <w:basedOn w:val="DefaultParagraphFont"/>
    <w:link w:val="Title"/>
    <w:rsid w:val="0029108C"/>
    <w:rPr>
      <w:rFonts w:ascii="Arial" w:eastAsia="Times New Roman" w:hAnsi="Arial" w:cs="Times New Roman"/>
      <w:b/>
      <w:bCs/>
      <w:sz w:val="32"/>
      <w:szCs w:val="24"/>
    </w:rPr>
  </w:style>
  <w:style w:type="paragraph" w:customStyle="1" w:styleId="xmsonormal">
    <w:name w:val="x_msonormal"/>
    <w:basedOn w:val="Normal"/>
    <w:uiPriority w:val="99"/>
    <w:rsid w:val="00453840"/>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6327">
      <w:bodyDiv w:val="1"/>
      <w:marLeft w:val="0"/>
      <w:marRight w:val="0"/>
      <w:marTop w:val="0"/>
      <w:marBottom w:val="0"/>
      <w:divBdr>
        <w:top w:val="none" w:sz="0" w:space="0" w:color="auto"/>
        <w:left w:val="none" w:sz="0" w:space="0" w:color="auto"/>
        <w:bottom w:val="none" w:sz="0" w:space="0" w:color="auto"/>
        <w:right w:val="none" w:sz="0" w:space="0" w:color="auto"/>
      </w:divBdr>
    </w:div>
    <w:div w:id="369497553">
      <w:bodyDiv w:val="1"/>
      <w:marLeft w:val="0"/>
      <w:marRight w:val="0"/>
      <w:marTop w:val="0"/>
      <w:marBottom w:val="0"/>
      <w:divBdr>
        <w:top w:val="none" w:sz="0" w:space="0" w:color="auto"/>
        <w:left w:val="none" w:sz="0" w:space="0" w:color="auto"/>
        <w:bottom w:val="none" w:sz="0" w:space="0" w:color="auto"/>
        <w:right w:val="none" w:sz="0" w:space="0" w:color="auto"/>
      </w:divBdr>
      <w:divsChild>
        <w:div w:id="291979472">
          <w:marLeft w:val="0"/>
          <w:marRight w:val="0"/>
          <w:marTop w:val="0"/>
          <w:marBottom w:val="0"/>
          <w:divBdr>
            <w:top w:val="none" w:sz="0" w:space="0" w:color="auto"/>
            <w:left w:val="none" w:sz="0" w:space="0" w:color="auto"/>
            <w:bottom w:val="none" w:sz="0" w:space="0" w:color="auto"/>
            <w:right w:val="none" w:sz="0" w:space="0" w:color="auto"/>
          </w:divBdr>
        </w:div>
      </w:divsChild>
    </w:div>
    <w:div w:id="416832813">
      <w:bodyDiv w:val="1"/>
      <w:marLeft w:val="0"/>
      <w:marRight w:val="0"/>
      <w:marTop w:val="0"/>
      <w:marBottom w:val="0"/>
      <w:divBdr>
        <w:top w:val="none" w:sz="0" w:space="0" w:color="auto"/>
        <w:left w:val="none" w:sz="0" w:space="0" w:color="auto"/>
        <w:bottom w:val="none" w:sz="0" w:space="0" w:color="auto"/>
        <w:right w:val="none" w:sz="0" w:space="0" w:color="auto"/>
      </w:divBdr>
    </w:div>
    <w:div w:id="694498345">
      <w:bodyDiv w:val="1"/>
      <w:marLeft w:val="0"/>
      <w:marRight w:val="0"/>
      <w:marTop w:val="0"/>
      <w:marBottom w:val="0"/>
      <w:divBdr>
        <w:top w:val="none" w:sz="0" w:space="0" w:color="auto"/>
        <w:left w:val="none" w:sz="0" w:space="0" w:color="auto"/>
        <w:bottom w:val="none" w:sz="0" w:space="0" w:color="auto"/>
        <w:right w:val="none" w:sz="0" w:space="0" w:color="auto"/>
      </w:divBdr>
    </w:div>
    <w:div w:id="1049694903">
      <w:bodyDiv w:val="1"/>
      <w:marLeft w:val="0"/>
      <w:marRight w:val="0"/>
      <w:marTop w:val="0"/>
      <w:marBottom w:val="0"/>
      <w:divBdr>
        <w:top w:val="none" w:sz="0" w:space="0" w:color="auto"/>
        <w:left w:val="none" w:sz="0" w:space="0" w:color="auto"/>
        <w:bottom w:val="none" w:sz="0" w:space="0" w:color="auto"/>
        <w:right w:val="none" w:sz="0" w:space="0" w:color="auto"/>
      </w:divBdr>
      <w:divsChild>
        <w:div w:id="2129927945">
          <w:marLeft w:val="0"/>
          <w:marRight w:val="0"/>
          <w:marTop w:val="0"/>
          <w:marBottom w:val="0"/>
          <w:divBdr>
            <w:top w:val="none" w:sz="0" w:space="0" w:color="auto"/>
            <w:left w:val="none" w:sz="0" w:space="0" w:color="auto"/>
            <w:bottom w:val="none" w:sz="0" w:space="0" w:color="auto"/>
            <w:right w:val="none" w:sz="0" w:space="0" w:color="auto"/>
          </w:divBdr>
        </w:div>
      </w:divsChild>
    </w:div>
    <w:div w:id="1411317888">
      <w:bodyDiv w:val="1"/>
      <w:marLeft w:val="0"/>
      <w:marRight w:val="0"/>
      <w:marTop w:val="0"/>
      <w:marBottom w:val="0"/>
      <w:divBdr>
        <w:top w:val="none" w:sz="0" w:space="0" w:color="auto"/>
        <w:left w:val="none" w:sz="0" w:space="0" w:color="auto"/>
        <w:bottom w:val="none" w:sz="0" w:space="0" w:color="auto"/>
        <w:right w:val="none" w:sz="0" w:space="0" w:color="auto"/>
      </w:divBdr>
    </w:div>
    <w:div w:id="1530606676">
      <w:bodyDiv w:val="1"/>
      <w:marLeft w:val="0"/>
      <w:marRight w:val="0"/>
      <w:marTop w:val="0"/>
      <w:marBottom w:val="0"/>
      <w:divBdr>
        <w:top w:val="none" w:sz="0" w:space="0" w:color="auto"/>
        <w:left w:val="none" w:sz="0" w:space="0" w:color="auto"/>
        <w:bottom w:val="none" w:sz="0" w:space="0" w:color="auto"/>
        <w:right w:val="none" w:sz="0" w:space="0" w:color="auto"/>
      </w:divBdr>
    </w:div>
    <w:div w:id="1653946443">
      <w:bodyDiv w:val="1"/>
      <w:marLeft w:val="0"/>
      <w:marRight w:val="0"/>
      <w:marTop w:val="0"/>
      <w:marBottom w:val="0"/>
      <w:divBdr>
        <w:top w:val="none" w:sz="0" w:space="0" w:color="auto"/>
        <w:left w:val="none" w:sz="0" w:space="0" w:color="auto"/>
        <w:bottom w:val="none" w:sz="0" w:space="0" w:color="auto"/>
        <w:right w:val="none" w:sz="0" w:space="0" w:color="auto"/>
      </w:divBdr>
      <w:divsChild>
        <w:div w:id="1533492100">
          <w:marLeft w:val="0"/>
          <w:marRight w:val="345"/>
          <w:marTop w:val="0"/>
          <w:marBottom w:val="0"/>
          <w:divBdr>
            <w:top w:val="none" w:sz="0" w:space="0" w:color="auto"/>
            <w:left w:val="none" w:sz="0" w:space="0" w:color="auto"/>
            <w:bottom w:val="none" w:sz="0" w:space="0" w:color="auto"/>
            <w:right w:val="none" w:sz="0" w:space="0" w:color="auto"/>
          </w:divBdr>
          <w:divsChild>
            <w:div w:id="1130322058">
              <w:marLeft w:val="0"/>
              <w:marRight w:val="0"/>
              <w:marTop w:val="0"/>
              <w:marBottom w:val="450"/>
              <w:divBdr>
                <w:top w:val="none" w:sz="0" w:space="0" w:color="auto"/>
                <w:left w:val="none" w:sz="0" w:space="0" w:color="auto"/>
                <w:bottom w:val="none" w:sz="0" w:space="0" w:color="auto"/>
                <w:right w:val="none" w:sz="0" w:space="0" w:color="auto"/>
              </w:divBdr>
              <w:divsChild>
                <w:div w:id="99321669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868643742">
      <w:bodyDiv w:val="1"/>
      <w:marLeft w:val="0"/>
      <w:marRight w:val="0"/>
      <w:marTop w:val="0"/>
      <w:marBottom w:val="0"/>
      <w:divBdr>
        <w:top w:val="none" w:sz="0" w:space="0" w:color="auto"/>
        <w:left w:val="none" w:sz="0" w:space="0" w:color="auto"/>
        <w:bottom w:val="none" w:sz="0" w:space="0" w:color="auto"/>
        <w:right w:val="none" w:sz="0" w:space="0" w:color="auto"/>
      </w:divBdr>
    </w:div>
    <w:div w:id="1982733688">
      <w:bodyDiv w:val="1"/>
      <w:marLeft w:val="0"/>
      <w:marRight w:val="0"/>
      <w:marTop w:val="0"/>
      <w:marBottom w:val="0"/>
      <w:divBdr>
        <w:top w:val="none" w:sz="0" w:space="0" w:color="auto"/>
        <w:left w:val="none" w:sz="0" w:space="0" w:color="auto"/>
        <w:bottom w:val="none" w:sz="0" w:space="0" w:color="auto"/>
        <w:right w:val="none" w:sz="0" w:space="0" w:color="auto"/>
      </w:divBdr>
    </w:div>
    <w:div w:id="199795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tlpi.org" TargetMode="External"/><Relationship Id="rId2" Type="http://schemas.openxmlformats.org/officeDocument/2006/relationships/hyperlink" Target="http://Home.TLPI.org" TargetMode="External"/><Relationship Id="rId1" Type="http://schemas.openxmlformats.org/officeDocument/2006/relationships/image" Target="media/image3.png"/><Relationship Id="rId4" Type="http://schemas.openxmlformats.org/officeDocument/2006/relationships/hyperlink" Target="http://www.WellnessCourt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Home.TLPI.org" TargetMode="External"/><Relationship Id="rId2" Type="http://schemas.openxmlformats.org/officeDocument/2006/relationships/image" Target="media/image3.png"/><Relationship Id="rId1" Type="http://schemas.openxmlformats.org/officeDocument/2006/relationships/image" Target="media/image5.png"/><Relationship Id="rId5" Type="http://schemas.openxmlformats.org/officeDocument/2006/relationships/hyperlink" Target="http://www.WellnessCourts.org" TargetMode="External"/><Relationship Id="rId4" Type="http://schemas.openxmlformats.org/officeDocument/2006/relationships/hyperlink" Target="mailto:info@tlp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7203-E6DD-4A0E-99E9-E31131FE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Cordero</dc:creator>
  <cp:keywords/>
  <dc:description/>
  <cp:lastModifiedBy>Lauren van Schilfgaarde</cp:lastModifiedBy>
  <cp:revision>17</cp:revision>
  <cp:lastPrinted>2019-07-19T16:27:00Z</cp:lastPrinted>
  <dcterms:created xsi:type="dcterms:W3CDTF">2019-06-12T14:55:00Z</dcterms:created>
  <dcterms:modified xsi:type="dcterms:W3CDTF">2019-07-19T16:35:00Z</dcterms:modified>
</cp:coreProperties>
</file>